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24ABBB70"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#9</w:t>
      </w:r>
      <w:r w:rsidR="00D44D18">
        <w:rPr>
          <w:rFonts w:eastAsia="MS Mincho" w:cs="Arial"/>
          <w:bCs/>
          <w:sz w:val="28"/>
          <w:szCs w:val="24"/>
          <w:lang w:val="en-US"/>
        </w:rPr>
        <w:t>9</w:t>
      </w:r>
      <w:r w:rsidR="00F31793">
        <w:rPr>
          <w:rFonts w:eastAsia="MS Mincho" w:cs="Arial"/>
          <w:bCs/>
          <w:sz w:val="28"/>
          <w:szCs w:val="24"/>
          <w:lang w:val="en-US"/>
        </w:rPr>
        <w:t xml:space="preserve">   </w:t>
      </w:r>
      <w:r w:rsidR="00F31793" w:rsidRPr="00F31793">
        <w:rPr>
          <w:rFonts w:eastAsia="MS Mincho" w:cs="Arial"/>
          <w:bCs/>
          <w:sz w:val="28"/>
          <w:szCs w:val="24"/>
          <w:lang w:val="en-US"/>
        </w:rPr>
        <w:tab/>
      </w:r>
      <w:r w:rsidR="00F31793">
        <w:rPr>
          <w:rFonts w:eastAsia="MS Mincho" w:cs="Arial"/>
          <w:bCs/>
          <w:sz w:val="28"/>
          <w:szCs w:val="24"/>
          <w:lang w:val="en-US"/>
        </w:rPr>
        <w:t xml:space="preserve">    </w:t>
      </w:r>
      <w:r w:rsidR="004548FB">
        <w:rPr>
          <w:rFonts w:eastAsia="MS Mincho" w:cs="Arial"/>
          <w:bCs/>
          <w:sz w:val="28"/>
          <w:szCs w:val="24"/>
          <w:lang w:val="en-US"/>
        </w:rPr>
        <w:tab/>
      </w:r>
      <w:r w:rsidR="0028673D" w:rsidRPr="0028673D">
        <w:rPr>
          <w:rFonts w:eastAsia="MS Mincho" w:cs="Arial"/>
          <w:bCs/>
          <w:sz w:val="28"/>
          <w:szCs w:val="24"/>
          <w:lang w:val="en-US"/>
        </w:rPr>
        <w:t>R1-19</w:t>
      </w:r>
      <w:r w:rsidR="002C3773">
        <w:rPr>
          <w:rFonts w:eastAsia="MS Mincho" w:cs="Arial"/>
          <w:bCs/>
          <w:sz w:val="28"/>
          <w:szCs w:val="24"/>
          <w:lang w:val="en-US"/>
        </w:rPr>
        <w:t>12135</w:t>
      </w:r>
      <w:r w:rsidR="0028673D" w:rsidRPr="0028673D" w:rsidDel="0028673D">
        <w:rPr>
          <w:rFonts w:eastAsia="MS Mincho" w:cs="Arial"/>
          <w:bCs/>
          <w:sz w:val="28"/>
          <w:szCs w:val="24"/>
          <w:lang w:val="en-US"/>
        </w:rPr>
        <w:t xml:space="preserve"> </w:t>
      </w:r>
    </w:p>
    <w:p w14:paraId="1E241712" w14:textId="2DBCD1E4" w:rsidR="00AA7E8B" w:rsidRPr="009513AC" w:rsidRDefault="00D44D18"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F80DAA">
        <w:rPr>
          <w:rFonts w:ascii="Arial" w:eastAsia="MS Mincho" w:hAnsi="Arial" w:cs="Arial"/>
          <w:b/>
          <w:bCs/>
          <w:sz w:val="28"/>
          <w:lang w:eastAsia="ja-JP"/>
        </w:rPr>
        <w:t xml:space="preserve">, </w:t>
      </w:r>
      <w:r>
        <w:rPr>
          <w:rFonts w:ascii="Arial" w:eastAsia="MS Mincho" w:hAnsi="Arial" w:cs="Arial"/>
          <w:b/>
          <w:bCs/>
          <w:sz w:val="28"/>
          <w:lang w:eastAsia="ja-JP"/>
        </w:rPr>
        <w:t>USA</w:t>
      </w:r>
      <w:r w:rsidR="00F80DAA">
        <w:rPr>
          <w:rFonts w:ascii="Arial" w:eastAsia="MS Mincho" w:hAnsi="Arial" w:cs="Arial"/>
          <w:b/>
          <w:bCs/>
          <w:sz w:val="28"/>
          <w:lang w:eastAsia="ja-JP"/>
        </w:rPr>
        <w:t xml:space="preserve">, </w:t>
      </w:r>
      <w:r>
        <w:rPr>
          <w:rFonts w:ascii="Arial" w:eastAsia="MS Mincho" w:hAnsi="Arial" w:cs="Arial"/>
          <w:b/>
          <w:bCs/>
          <w:sz w:val="28"/>
          <w:lang w:eastAsia="ja-JP"/>
        </w:rPr>
        <w:t>Novemb</w:t>
      </w:r>
      <w:r w:rsidR="006F2E1B">
        <w:rPr>
          <w:rFonts w:ascii="Arial" w:eastAsia="MS Mincho" w:hAnsi="Arial" w:cs="Arial"/>
          <w:b/>
          <w:bCs/>
          <w:sz w:val="28"/>
          <w:lang w:eastAsia="ja-JP"/>
        </w:rPr>
        <w:t>er</w:t>
      </w:r>
      <w:r w:rsidR="00F80DAA">
        <w:rPr>
          <w:rFonts w:ascii="Arial" w:eastAsia="MS Mincho" w:hAnsi="Arial" w:cs="Arial"/>
          <w:b/>
          <w:bCs/>
          <w:sz w:val="28"/>
          <w:lang w:eastAsia="ja-JP"/>
        </w:rPr>
        <w:t xml:space="preserve"> </w:t>
      </w:r>
      <w:r w:rsidR="006F2E1B">
        <w:rPr>
          <w:rFonts w:ascii="Arial" w:eastAsia="MS Mincho" w:hAnsi="Arial" w:cs="Arial"/>
          <w:b/>
          <w:bCs/>
          <w:sz w:val="28"/>
          <w:lang w:eastAsia="ja-JP"/>
        </w:rPr>
        <w:t>1</w:t>
      </w:r>
      <w:r>
        <w:rPr>
          <w:rFonts w:ascii="Arial" w:eastAsia="MS Mincho" w:hAnsi="Arial" w:cs="Arial"/>
          <w:b/>
          <w:bCs/>
          <w:sz w:val="28"/>
          <w:lang w:eastAsia="ja-JP"/>
        </w:rPr>
        <w:t>8</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 </w:t>
      </w:r>
      <w:r w:rsidR="00C33729">
        <w:rPr>
          <w:rFonts w:ascii="Arial" w:eastAsia="MS Mincho" w:hAnsi="Arial" w:cs="Arial"/>
          <w:b/>
          <w:bCs/>
          <w:sz w:val="28"/>
          <w:lang w:eastAsia="ja-JP"/>
        </w:rPr>
        <w:t>2</w:t>
      </w:r>
      <w:r>
        <w:rPr>
          <w:rFonts w:ascii="Arial" w:eastAsia="MS Mincho" w:hAnsi="Arial" w:cs="Arial"/>
          <w:b/>
          <w:bCs/>
          <w:sz w:val="28"/>
          <w:lang w:eastAsia="ja-JP"/>
        </w:rPr>
        <w:t>2</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2019</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77777777"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D3173">
        <w:rPr>
          <w:rFonts w:cs="Arial"/>
          <w:bCs/>
          <w:sz w:val="28"/>
          <w:szCs w:val="24"/>
          <w:lang w:val="en-US" w:eastAsia="zh-TW"/>
        </w:rPr>
        <w:t>7</w:t>
      </w:r>
      <w:r w:rsidR="00793A0D">
        <w:rPr>
          <w:rFonts w:cs="Arial"/>
          <w:bCs/>
          <w:sz w:val="28"/>
          <w:szCs w:val="24"/>
          <w:lang w:val="en-US" w:eastAsia="zh-TW"/>
        </w:rPr>
        <w:t>.</w:t>
      </w:r>
      <w:r w:rsidR="00F66D30">
        <w:rPr>
          <w:rFonts w:cs="Arial"/>
          <w:bCs/>
          <w:sz w:val="28"/>
          <w:szCs w:val="24"/>
          <w:lang w:val="en-US" w:eastAsia="zh-TW"/>
        </w:rPr>
        <w:t>2</w:t>
      </w:r>
      <w:r w:rsidR="00793A0D">
        <w:rPr>
          <w:rFonts w:cs="Arial"/>
          <w:bCs/>
          <w:sz w:val="28"/>
          <w:szCs w:val="24"/>
          <w:lang w:val="en-US" w:eastAsia="zh-TW"/>
        </w:rPr>
        <w:t>.</w:t>
      </w:r>
      <w:r w:rsidR="00F66D30">
        <w:rPr>
          <w:rFonts w:cs="Arial"/>
          <w:bCs/>
          <w:sz w:val="28"/>
          <w:szCs w:val="24"/>
          <w:lang w:val="en-US" w:eastAsia="zh-TW"/>
        </w:rPr>
        <w:t>8</w:t>
      </w:r>
      <w:r w:rsidR="00793A0D">
        <w:rPr>
          <w:rFonts w:cs="Arial"/>
          <w:bCs/>
          <w:sz w:val="28"/>
          <w:szCs w:val="24"/>
          <w:lang w:val="en-US" w:eastAsia="zh-TW"/>
        </w:rPr>
        <w:t>.</w:t>
      </w:r>
      <w:r w:rsidR="00C46B4D">
        <w:rPr>
          <w:rFonts w:cs="Arial"/>
          <w:bCs/>
          <w:sz w:val="28"/>
          <w:szCs w:val="24"/>
          <w:lang w:val="en-US" w:eastAsia="zh-TW"/>
        </w:rPr>
        <w:t>3</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77777777"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F66D30">
        <w:rPr>
          <w:rFonts w:eastAsia="MS Mincho" w:cs="Arial"/>
          <w:bCs/>
          <w:sz w:val="28"/>
          <w:szCs w:val="24"/>
          <w:lang w:val="en-US"/>
        </w:rPr>
        <w:t>Enhancements on multi-beam operation</w:t>
      </w:r>
      <w:r w:rsidR="005554FF">
        <w:rPr>
          <w:rFonts w:eastAsia="MS Mincho" w:cs="Arial"/>
          <w:bCs/>
          <w:sz w:val="28"/>
          <w:szCs w:val="24"/>
          <w:lang w:val="en-US"/>
        </w:rPr>
        <w:t>s</w:t>
      </w:r>
    </w:p>
    <w:p w14:paraId="59B036AD" w14:textId="7777777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5435A1A3" w14:textId="4949DBA0" w:rsidR="00E35C2D" w:rsidRPr="0025215B" w:rsidRDefault="003807CD">
      <w:pPr>
        <w:spacing w:before="100" w:beforeAutospacing="1" w:after="100" w:afterAutospacing="1"/>
        <w:jc w:val="both"/>
      </w:pPr>
      <w:r>
        <w:t>In this contribution,</w:t>
      </w:r>
      <w:r w:rsidR="00651F1C">
        <w:t xml:space="preserve"> we discuss potential enhancements, with considerations on multi-panel/multi-TRP scenario.</w:t>
      </w:r>
      <w:r w:rsidR="00A96C01">
        <w:t xml:space="preserve"> In particular,</w:t>
      </w:r>
      <w:r w:rsidR="00427771">
        <w:t xml:space="preserve"> QCL indication,</w:t>
      </w:r>
      <w:r w:rsidR="00A96C01">
        <w:t xml:space="preserve"> group-based reporting, </w:t>
      </w:r>
      <w:r w:rsidR="00434981">
        <w:t xml:space="preserve">L1-SINR measurement, </w:t>
      </w:r>
      <w:r w:rsidR="00CB095F">
        <w:t xml:space="preserve">MPE issues, </w:t>
      </w:r>
      <w:r w:rsidR="00A96C01">
        <w:t xml:space="preserve">UL beam management enhancement, and BFR on SCell are </w:t>
      </w:r>
      <w:r w:rsidR="00434981">
        <w:t>discussed</w:t>
      </w:r>
      <w:r w:rsidR="00A96C01">
        <w:t>.</w:t>
      </w:r>
    </w:p>
    <w:p w14:paraId="31ADE748" w14:textId="317B6F2E" w:rsidR="005F5067" w:rsidRDefault="00EB0778" w:rsidP="002135E1">
      <w:pPr>
        <w:pStyle w:val="Heading1"/>
        <w:numPr>
          <w:ilvl w:val="0"/>
          <w:numId w:val="1"/>
        </w:numPr>
      </w:pPr>
      <w:r>
        <w:t xml:space="preserve">Enhancements </w:t>
      </w:r>
      <w:r w:rsidR="003B51B7">
        <w:t>on beam measurement and reporting</w:t>
      </w:r>
    </w:p>
    <w:p w14:paraId="002452BA" w14:textId="77777777" w:rsidR="00C33729" w:rsidRDefault="00C33729" w:rsidP="00C33729">
      <w:pPr>
        <w:pStyle w:val="Heading2"/>
        <w:numPr>
          <w:ilvl w:val="1"/>
          <w:numId w:val="1"/>
        </w:numPr>
      </w:pPr>
      <w:r>
        <w:t>UL beam management</w:t>
      </w:r>
    </w:p>
    <w:p w14:paraId="0C8661D8" w14:textId="77777777" w:rsidR="00C33729" w:rsidRDefault="00C33729" w:rsidP="00C33729">
      <w:pPr>
        <w:pStyle w:val="Heading3"/>
        <w:numPr>
          <w:ilvl w:val="2"/>
          <w:numId w:val="1"/>
        </w:numPr>
      </w:pPr>
      <w:r>
        <w:t>Default spatial relation for PUCCH</w:t>
      </w:r>
      <w:r w:rsidRPr="005D4E33">
        <w:t>/SRS in FR2</w:t>
      </w:r>
    </w:p>
    <w:p w14:paraId="424D3ADF" w14:textId="77777777" w:rsidR="00412F7C" w:rsidRPr="009D4C1E" w:rsidRDefault="00412F7C" w:rsidP="00412F7C">
      <w:pPr>
        <w:pStyle w:val="LGTdoc"/>
        <w:spacing w:afterLines="0" w:line="240" w:lineRule="auto"/>
        <w:contextualSpacing/>
        <w:rPr>
          <w:b/>
          <w:sz w:val="20"/>
          <w:szCs w:val="20"/>
          <w:highlight w:val="green"/>
          <w:lang w:val="en-US"/>
        </w:rPr>
      </w:pPr>
      <w:r w:rsidRPr="009D4C1E">
        <w:rPr>
          <w:b/>
          <w:sz w:val="20"/>
          <w:szCs w:val="20"/>
          <w:highlight w:val="green"/>
          <w:lang w:val="en-US"/>
        </w:rPr>
        <w:t xml:space="preserve">Agreement </w:t>
      </w:r>
    </w:p>
    <w:p w14:paraId="27D860D1" w14:textId="77777777" w:rsidR="00412F7C" w:rsidRPr="009D4C1E" w:rsidRDefault="00412F7C" w:rsidP="00412F7C">
      <w:pPr>
        <w:pStyle w:val="LGTdoc"/>
        <w:spacing w:afterLines="0" w:line="240" w:lineRule="auto"/>
        <w:contextualSpacing/>
        <w:rPr>
          <w:bCs/>
          <w:sz w:val="20"/>
          <w:szCs w:val="20"/>
          <w:lang w:val="en-US"/>
        </w:rPr>
      </w:pPr>
      <w:r w:rsidRPr="009D4C1E">
        <w:rPr>
          <w:bCs/>
          <w:sz w:val="20"/>
          <w:szCs w:val="20"/>
          <w:lang w:val="en-US"/>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330709AB" w14:textId="77777777" w:rsidR="00412F7C" w:rsidRPr="009D4C1E" w:rsidRDefault="00412F7C" w:rsidP="00412F7C">
      <w:pPr>
        <w:pStyle w:val="LGTdoc"/>
        <w:numPr>
          <w:ilvl w:val="0"/>
          <w:numId w:val="14"/>
        </w:numPr>
        <w:spacing w:afterLines="0" w:line="240" w:lineRule="auto"/>
        <w:ind w:left="760"/>
        <w:contextualSpacing/>
        <w:rPr>
          <w:bCs/>
          <w:sz w:val="20"/>
          <w:szCs w:val="20"/>
          <w:lang w:val="en-US"/>
        </w:rPr>
      </w:pPr>
      <w:r w:rsidRPr="009D4C1E">
        <w:rPr>
          <w:bCs/>
          <w:sz w:val="20"/>
          <w:szCs w:val="20"/>
          <w:lang w:val="en-US"/>
        </w:rPr>
        <w:t>Alt.1: default TCI state or QCL assumption of PDSCH (e.g. the most recent slot and the lowest CORESET ID)</w:t>
      </w:r>
    </w:p>
    <w:p w14:paraId="300AB37F" w14:textId="77777777" w:rsidR="00412F7C" w:rsidRPr="009D4C1E" w:rsidRDefault="00412F7C" w:rsidP="00412F7C">
      <w:pPr>
        <w:pStyle w:val="LGTdoc"/>
        <w:numPr>
          <w:ilvl w:val="0"/>
          <w:numId w:val="14"/>
        </w:numPr>
        <w:spacing w:afterLines="0" w:line="240" w:lineRule="auto"/>
        <w:ind w:left="760"/>
        <w:contextualSpacing/>
        <w:rPr>
          <w:bCs/>
          <w:sz w:val="20"/>
          <w:szCs w:val="20"/>
          <w:lang w:val="en-US"/>
        </w:rPr>
      </w:pPr>
      <w:r w:rsidRPr="009D4C1E">
        <w:rPr>
          <w:bCs/>
          <w:sz w:val="20"/>
          <w:szCs w:val="20"/>
          <w:lang w:val="en-US"/>
        </w:rPr>
        <w:t>Alt.2: one of an active TCI state of CORESET</w:t>
      </w:r>
    </w:p>
    <w:p w14:paraId="2594E8D4" w14:textId="77777777" w:rsidR="00412F7C" w:rsidRPr="009D4C1E" w:rsidRDefault="00412F7C" w:rsidP="00412F7C">
      <w:pPr>
        <w:pStyle w:val="LGTdoc"/>
        <w:numPr>
          <w:ilvl w:val="1"/>
          <w:numId w:val="14"/>
        </w:numPr>
        <w:spacing w:afterLines="0" w:line="240" w:lineRule="auto"/>
        <w:ind w:left="1200"/>
        <w:contextualSpacing/>
        <w:rPr>
          <w:bCs/>
          <w:sz w:val="20"/>
          <w:szCs w:val="20"/>
          <w:lang w:val="en-US"/>
        </w:rPr>
      </w:pPr>
      <w:r w:rsidRPr="009D4C1E">
        <w:rPr>
          <w:bCs/>
          <w:sz w:val="20"/>
          <w:szCs w:val="20"/>
          <w:lang w:val="en-US"/>
        </w:rPr>
        <w:t>FFS: details of which TCI state</w:t>
      </w:r>
    </w:p>
    <w:p w14:paraId="5CB4D0C0" w14:textId="77777777" w:rsidR="00412F7C" w:rsidRPr="00155998" w:rsidRDefault="00412F7C" w:rsidP="00412F7C">
      <w:pPr>
        <w:pStyle w:val="LGTdoc"/>
        <w:numPr>
          <w:ilvl w:val="0"/>
          <w:numId w:val="14"/>
        </w:numPr>
        <w:spacing w:afterLines="0" w:line="240" w:lineRule="auto"/>
        <w:ind w:left="760"/>
        <w:contextualSpacing/>
        <w:rPr>
          <w:bCs/>
          <w:sz w:val="20"/>
          <w:szCs w:val="20"/>
          <w:lang w:val="en-US"/>
        </w:rPr>
      </w:pPr>
      <w:r w:rsidRPr="00155998">
        <w:rPr>
          <w:bCs/>
          <w:sz w:val="20"/>
          <w:szCs w:val="20"/>
          <w:lang w:val="en-US"/>
        </w:rPr>
        <w:t>Alt.3: TCI state of scheduling PDCCH for A-SRS/PUCCH, and default TCI state or QCL assumption of PDSCH for other than A-SRS/PUCCH</w:t>
      </w:r>
    </w:p>
    <w:p w14:paraId="1FB93762" w14:textId="77777777" w:rsidR="00412F7C" w:rsidRPr="009D4C1E" w:rsidRDefault="00412F7C" w:rsidP="00412F7C">
      <w:pPr>
        <w:pStyle w:val="LGTdoc"/>
        <w:numPr>
          <w:ilvl w:val="0"/>
          <w:numId w:val="14"/>
        </w:numPr>
        <w:spacing w:afterLines="0" w:line="240" w:lineRule="auto"/>
        <w:ind w:left="760"/>
        <w:contextualSpacing/>
        <w:rPr>
          <w:bCs/>
          <w:sz w:val="20"/>
          <w:szCs w:val="20"/>
          <w:lang w:val="en-US"/>
        </w:rPr>
      </w:pPr>
      <w:r w:rsidRPr="009D4C1E">
        <w:rPr>
          <w:bCs/>
          <w:sz w:val="20"/>
          <w:szCs w:val="20"/>
          <w:lang w:val="en-US"/>
        </w:rPr>
        <w:t>Alt.4: CORESET#0 QCL assumption</w:t>
      </w:r>
    </w:p>
    <w:p w14:paraId="1F8E7814" w14:textId="77777777" w:rsidR="00412F7C" w:rsidRPr="009D4C1E" w:rsidRDefault="00412F7C" w:rsidP="00412F7C">
      <w:pPr>
        <w:pStyle w:val="LGTdoc"/>
        <w:numPr>
          <w:ilvl w:val="0"/>
          <w:numId w:val="14"/>
        </w:numPr>
        <w:spacing w:afterLines="0" w:line="240" w:lineRule="auto"/>
        <w:ind w:left="760"/>
        <w:contextualSpacing/>
        <w:rPr>
          <w:bCs/>
          <w:sz w:val="20"/>
          <w:szCs w:val="20"/>
          <w:lang w:val="en-US"/>
        </w:rPr>
      </w:pPr>
      <w:r w:rsidRPr="009D4C1E">
        <w:rPr>
          <w:bCs/>
          <w:sz w:val="20"/>
          <w:szCs w:val="20"/>
          <w:lang w:val="en-US"/>
        </w:rPr>
        <w:t>Alt.5: pathloss reference RS</w:t>
      </w:r>
    </w:p>
    <w:p w14:paraId="37A16A10" w14:textId="77777777" w:rsidR="00412F7C" w:rsidRPr="009D4C1E" w:rsidRDefault="00412F7C" w:rsidP="00412F7C">
      <w:pPr>
        <w:pStyle w:val="LGTdoc"/>
        <w:numPr>
          <w:ilvl w:val="1"/>
          <w:numId w:val="14"/>
        </w:numPr>
        <w:spacing w:afterLines="0" w:line="240" w:lineRule="auto"/>
        <w:ind w:left="1200"/>
        <w:contextualSpacing/>
        <w:rPr>
          <w:bCs/>
          <w:sz w:val="20"/>
          <w:szCs w:val="20"/>
          <w:lang w:val="en-US"/>
        </w:rPr>
      </w:pPr>
      <w:r w:rsidRPr="009D4C1E">
        <w:rPr>
          <w:bCs/>
          <w:sz w:val="20"/>
          <w:szCs w:val="20"/>
          <w:lang w:val="en-US"/>
        </w:rPr>
        <w:t>FFS: details of which pathloss reference RS</w:t>
      </w:r>
    </w:p>
    <w:p w14:paraId="466EB6A3" w14:textId="77777777" w:rsidR="00412F7C" w:rsidRDefault="00412F7C" w:rsidP="00412F7C">
      <w:r w:rsidRPr="009D4C1E">
        <w:rPr>
          <w:bCs/>
          <w:sz w:val="20"/>
        </w:rPr>
        <w:t>FFS: whether to apply the above for UEs not supporting beam correspondence</w:t>
      </w:r>
    </w:p>
    <w:p w14:paraId="1793FEAE" w14:textId="77777777" w:rsidR="00C33729" w:rsidRDefault="00C33729" w:rsidP="00C33729">
      <w:pPr>
        <w:spacing w:after="0"/>
      </w:pPr>
    </w:p>
    <w:p w14:paraId="6FFE3BA1" w14:textId="66F4488A" w:rsidR="000833D5" w:rsidRDefault="000833D5" w:rsidP="000833D5">
      <w:pPr>
        <w:spacing w:after="0"/>
      </w:pPr>
      <w:r>
        <w:t xml:space="preserve">In order to reduce overhead, we agree RAN1 should specify default association </w:t>
      </w:r>
      <w:r>
        <w:rPr>
          <w:lang w:val="en-GB"/>
        </w:rPr>
        <w:t>when spatial relation is not configured</w:t>
      </w:r>
      <w:r>
        <w:t xml:space="preserve">. The default spatial relation info should be based on QCL/spatial info which was received or transmitted successfully recently. For </w:t>
      </w:r>
      <w:r w:rsidRPr="00020A17">
        <w:t>UEs supporting beam correspondence</w:t>
      </w:r>
      <w:r>
        <w:t xml:space="preserve">, among alternatives in the proposals, Alt.3 looks more promising. </w:t>
      </w:r>
    </w:p>
    <w:p w14:paraId="07428F3F" w14:textId="77777777" w:rsidR="000833D5" w:rsidRDefault="000833D5" w:rsidP="000833D5">
      <w:pPr>
        <w:spacing w:after="0"/>
      </w:pPr>
      <w:r>
        <w:t xml:space="preserve">For UEs not </w:t>
      </w:r>
      <w:r w:rsidRPr="00020A17">
        <w:t>supporting beam correspondence</w:t>
      </w:r>
      <w:r>
        <w:t>, SRS without configured spatial relation info</w:t>
      </w:r>
      <w:r w:rsidDel="00856745">
        <w:t xml:space="preserve"> </w:t>
      </w:r>
      <w:r>
        <w:t xml:space="preserve">can use similar scheme as </w:t>
      </w:r>
      <w:r w:rsidRPr="00B670B5">
        <w:t>PUSCH scheduled by DCI format 0_0</w:t>
      </w:r>
      <w:r>
        <w:t xml:space="preserve"> in Rel-15. In such a case, SRS follows </w:t>
      </w:r>
      <w:r w:rsidRPr="009E3A12">
        <w:t xml:space="preserve">the spatial relation used by the </w:t>
      </w:r>
      <w:r>
        <w:rPr>
          <w:sz w:val="20"/>
        </w:rPr>
        <w:t xml:space="preserve">dedicated </w:t>
      </w:r>
      <w:r w:rsidRPr="009E3A12">
        <w:t>PUCCH resource with the lowest resource ID configured in the active UL BWP</w:t>
      </w:r>
      <w:r>
        <w:t xml:space="preserve"> and it requires at least one </w:t>
      </w:r>
      <w:r>
        <w:rPr>
          <w:i/>
          <w:iCs/>
          <w:sz w:val="20"/>
        </w:rPr>
        <w:t xml:space="preserve">PUCCH-SpatialRelationInfo </w:t>
      </w:r>
      <w:r>
        <w:rPr>
          <w:iCs/>
          <w:sz w:val="20"/>
        </w:rPr>
        <w:t xml:space="preserve">is configured </w:t>
      </w:r>
      <w:r>
        <w:rPr>
          <w:sz w:val="20"/>
        </w:rPr>
        <w:t>in FR2</w:t>
      </w:r>
      <w:r>
        <w:t>.</w:t>
      </w:r>
    </w:p>
    <w:p w14:paraId="1F7E0BD3" w14:textId="77777777" w:rsidR="000833D5" w:rsidRDefault="000833D5" w:rsidP="000833D5">
      <w:pPr>
        <w:spacing w:after="0"/>
      </w:pPr>
    </w:p>
    <w:p w14:paraId="41987060" w14:textId="77777777" w:rsidR="000833D5" w:rsidRPr="00F822F2" w:rsidRDefault="000833D5" w:rsidP="000833D5">
      <w:pPr>
        <w:spacing w:after="0"/>
        <w:rPr>
          <w:b/>
        </w:rPr>
      </w:pPr>
      <w:r w:rsidRPr="00F822F2">
        <w:rPr>
          <w:b/>
        </w:rPr>
        <w:t>Proposal 1: For PUCCH/SRS without configured spatial relation, support default spatial relation info association</w:t>
      </w:r>
    </w:p>
    <w:p w14:paraId="101BDABC" w14:textId="77777777" w:rsidR="000833D5" w:rsidRDefault="000833D5" w:rsidP="000833D5">
      <w:pPr>
        <w:pStyle w:val="ListParagraph"/>
        <w:numPr>
          <w:ilvl w:val="0"/>
          <w:numId w:val="76"/>
        </w:numPr>
        <w:spacing w:after="0"/>
        <w:rPr>
          <w:b/>
        </w:rPr>
      </w:pPr>
      <w:r>
        <w:rPr>
          <w:b/>
        </w:rPr>
        <w:t xml:space="preserve">For beam-correspondence case, </w:t>
      </w:r>
      <w:r w:rsidRPr="00F822F2">
        <w:rPr>
          <w:b/>
        </w:rPr>
        <w:t>the default spatial relation follows Alt.3</w:t>
      </w:r>
      <w:r>
        <w:rPr>
          <w:b/>
        </w:rPr>
        <w:t>:</w:t>
      </w:r>
    </w:p>
    <w:p w14:paraId="17A31931" w14:textId="77777777" w:rsidR="000833D5" w:rsidRDefault="000833D5" w:rsidP="000833D5">
      <w:pPr>
        <w:pStyle w:val="ListParagraph"/>
        <w:numPr>
          <w:ilvl w:val="1"/>
          <w:numId w:val="76"/>
        </w:numPr>
        <w:spacing w:after="0"/>
        <w:rPr>
          <w:b/>
        </w:rPr>
      </w:pPr>
      <w:r w:rsidRPr="00F822F2">
        <w:rPr>
          <w:b/>
        </w:rPr>
        <w:t>TCI state of scheduling PDCCH for A-SRS/PUCCH, and default TCI state or QCL assumption of PDSCH for other than A-SRS/PUCCH</w:t>
      </w:r>
    </w:p>
    <w:p w14:paraId="670A3DCC" w14:textId="77777777" w:rsidR="000833D5" w:rsidRPr="00F822F2" w:rsidRDefault="000833D5" w:rsidP="000833D5">
      <w:pPr>
        <w:pStyle w:val="ListParagraph"/>
        <w:numPr>
          <w:ilvl w:val="0"/>
          <w:numId w:val="76"/>
        </w:numPr>
        <w:spacing w:after="0"/>
        <w:rPr>
          <w:b/>
        </w:rPr>
      </w:pPr>
      <w:r>
        <w:rPr>
          <w:b/>
        </w:rPr>
        <w:lastRenderedPageBreak/>
        <w:t xml:space="preserve">For non-beam-correspondence case, at least for SRS, the default </w:t>
      </w:r>
      <w:r w:rsidRPr="00F822F2">
        <w:rPr>
          <w:b/>
        </w:rPr>
        <w:t>spatial relation follows</w:t>
      </w:r>
      <w:r>
        <w:rPr>
          <w:b/>
        </w:rPr>
        <w:t xml:space="preserve"> </w:t>
      </w:r>
      <w:r w:rsidRPr="00FC706C">
        <w:rPr>
          <w:b/>
        </w:rPr>
        <w:t>the spatial relation used by the dedicated PUCCH resource with the lowest resource ID configured in the active UL BWP</w:t>
      </w:r>
    </w:p>
    <w:p w14:paraId="1C745800" w14:textId="2B4DACD2" w:rsidR="00C33729" w:rsidRPr="00BA1226" w:rsidRDefault="00C33729" w:rsidP="00BA1226">
      <w:pPr>
        <w:rPr>
          <w:b/>
        </w:rPr>
      </w:pPr>
    </w:p>
    <w:p w14:paraId="1FB33D26" w14:textId="677C86D5" w:rsidR="003B70DF" w:rsidRDefault="003B70DF" w:rsidP="003B70DF">
      <w:pPr>
        <w:pStyle w:val="Heading2"/>
        <w:numPr>
          <w:ilvl w:val="1"/>
          <w:numId w:val="1"/>
        </w:numPr>
      </w:pPr>
      <w:r>
        <w:t>DL beam management</w:t>
      </w:r>
    </w:p>
    <w:p w14:paraId="4E37E43E" w14:textId="77777777" w:rsidR="003B70DF" w:rsidRDefault="003B70DF" w:rsidP="003B70DF">
      <w:pPr>
        <w:pStyle w:val="Heading3"/>
        <w:numPr>
          <w:ilvl w:val="2"/>
          <w:numId w:val="1"/>
        </w:numPr>
      </w:pPr>
      <w:r>
        <w:t>Default spatial relation for PUCCH</w:t>
      </w:r>
      <w:r w:rsidRPr="005D4E33">
        <w:t>/SRS in FR2</w:t>
      </w:r>
    </w:p>
    <w:p w14:paraId="14194E69" w14:textId="77777777" w:rsidR="005B337A" w:rsidRDefault="005B337A" w:rsidP="00291349">
      <w:pPr>
        <w:jc w:val="both"/>
        <w:rPr>
          <w:szCs w:val="22"/>
          <w:lang w:val="en-GB"/>
        </w:rPr>
      </w:pPr>
      <w:r>
        <w:rPr>
          <w:szCs w:val="22"/>
          <w:lang w:val="en-GB"/>
        </w:rPr>
        <w:t>We have the following agreements from the last meeting at Chongqing.</w:t>
      </w:r>
    </w:p>
    <w:p w14:paraId="5FD26C20" w14:textId="77777777" w:rsidR="005B337A" w:rsidRPr="00291349" w:rsidRDefault="005B337A" w:rsidP="005B337A">
      <w:pPr>
        <w:spacing w:after="0"/>
        <w:rPr>
          <w:rFonts w:ascii="Times" w:eastAsia="Batang" w:hAnsi="Times"/>
          <w:bCs/>
          <w:szCs w:val="22"/>
          <w:lang w:val="en-GB" w:eastAsia="x-none"/>
        </w:rPr>
      </w:pPr>
      <w:r w:rsidRPr="00291349">
        <w:rPr>
          <w:rFonts w:ascii="Times" w:eastAsia="Batang" w:hAnsi="Times"/>
          <w:bCs/>
          <w:szCs w:val="22"/>
          <w:highlight w:val="green"/>
          <w:lang w:val="en-GB" w:eastAsia="x-none"/>
        </w:rPr>
        <w:t>Agreement</w:t>
      </w:r>
    </w:p>
    <w:p w14:paraId="268AEFB4" w14:textId="3FCCDF29" w:rsidR="005B337A" w:rsidRPr="00291349" w:rsidRDefault="005B337A" w:rsidP="005B337A">
      <w:pPr>
        <w:widowControl w:val="0"/>
        <w:autoSpaceDE w:val="0"/>
        <w:autoSpaceDN w:val="0"/>
        <w:adjustRightInd w:val="0"/>
        <w:snapToGrid w:val="0"/>
        <w:spacing w:after="120"/>
        <w:contextualSpacing/>
        <w:jc w:val="both"/>
        <w:rPr>
          <w:rFonts w:ascii="Times" w:eastAsia="Batang" w:hAnsi="Times"/>
          <w:bCs/>
          <w:szCs w:val="22"/>
          <w:lang w:val="en-GB" w:eastAsia="x-none"/>
        </w:rPr>
      </w:pPr>
      <w:r w:rsidRPr="00291349">
        <w:rPr>
          <w:rFonts w:eastAsia="Batang"/>
          <w:bCs/>
          <w:kern w:val="2"/>
          <w:szCs w:val="22"/>
          <w:lang w:eastAsia="ko-KR"/>
        </w:rPr>
        <w:t xml:space="preserve">When a TCI-state ID is activated for a CORESET by a MAC CE for a set of CCs/BWPs at least for the same band, where the applicable list of CCs is indicated by RRC </w:t>
      </w:r>
      <w:r w:rsidR="002B0D4B" w:rsidRPr="005B337A">
        <w:rPr>
          <w:rFonts w:eastAsia="Batang"/>
          <w:bCs/>
          <w:kern w:val="2"/>
          <w:szCs w:val="22"/>
          <w:lang w:eastAsia="ko-KR"/>
        </w:rPr>
        <w:t>signaling</w:t>
      </w:r>
      <w:r w:rsidRPr="00291349">
        <w:rPr>
          <w:rFonts w:eastAsia="Batang"/>
          <w:bCs/>
          <w:kern w:val="2"/>
          <w:szCs w:val="22"/>
          <w:lang w:eastAsia="ko-KR"/>
        </w:rPr>
        <w:t>, the TCI-state ID is applied for the CORESET(s) with the same CORESET ID for all the BWPs in the indicated CCs.</w:t>
      </w:r>
    </w:p>
    <w:p w14:paraId="3B1A8B55" w14:textId="77777777" w:rsidR="005B337A" w:rsidRPr="00291349" w:rsidRDefault="005B337A" w:rsidP="005B337A">
      <w:pPr>
        <w:numPr>
          <w:ilvl w:val="0"/>
          <w:numId w:val="80"/>
        </w:numPr>
        <w:overflowPunct w:val="0"/>
        <w:autoSpaceDE w:val="0"/>
        <w:autoSpaceDN w:val="0"/>
        <w:adjustRightInd w:val="0"/>
        <w:spacing w:after="0"/>
        <w:contextualSpacing/>
        <w:textAlignment w:val="baseline"/>
        <w:rPr>
          <w:rFonts w:eastAsia="SimSun"/>
          <w:szCs w:val="22"/>
          <w:lang w:eastAsia="ja-JP"/>
        </w:rPr>
      </w:pPr>
      <w:r w:rsidRPr="00291349">
        <w:rPr>
          <w:rFonts w:eastAsia="SimSun"/>
          <w:szCs w:val="22"/>
          <w:lang w:eastAsia="ja-JP"/>
        </w:rPr>
        <w:t>Further signaling details are up to RAN2.</w:t>
      </w:r>
    </w:p>
    <w:p w14:paraId="0460058A" w14:textId="77777777" w:rsidR="005B337A" w:rsidRPr="00291349" w:rsidRDefault="005B337A" w:rsidP="005B337A">
      <w:pPr>
        <w:numPr>
          <w:ilvl w:val="0"/>
          <w:numId w:val="80"/>
        </w:numPr>
        <w:overflowPunct w:val="0"/>
        <w:autoSpaceDE w:val="0"/>
        <w:autoSpaceDN w:val="0"/>
        <w:adjustRightInd w:val="0"/>
        <w:spacing w:after="0"/>
        <w:contextualSpacing/>
        <w:textAlignment w:val="baseline"/>
        <w:rPr>
          <w:rFonts w:eastAsia="SimSun"/>
          <w:szCs w:val="22"/>
          <w:lang w:eastAsia="ja-JP"/>
        </w:rPr>
      </w:pPr>
      <w:r w:rsidRPr="00291349">
        <w:rPr>
          <w:rFonts w:eastAsia="SimSun"/>
          <w:szCs w:val="22"/>
          <w:lang w:eastAsia="ja-JP"/>
        </w:rPr>
        <w:t>Whether to support the inter-band CA for this feature will be decided in RAN1#99.</w:t>
      </w:r>
    </w:p>
    <w:p w14:paraId="72C12172" w14:textId="77777777" w:rsidR="005B337A" w:rsidRPr="00291349" w:rsidRDefault="005B337A" w:rsidP="005B337A">
      <w:pPr>
        <w:numPr>
          <w:ilvl w:val="0"/>
          <w:numId w:val="80"/>
        </w:numPr>
        <w:overflowPunct w:val="0"/>
        <w:autoSpaceDE w:val="0"/>
        <w:autoSpaceDN w:val="0"/>
        <w:adjustRightInd w:val="0"/>
        <w:spacing w:after="0"/>
        <w:contextualSpacing/>
        <w:textAlignment w:val="baseline"/>
        <w:rPr>
          <w:rFonts w:eastAsia="SimSun"/>
          <w:szCs w:val="22"/>
          <w:lang w:eastAsia="ja-JP"/>
        </w:rPr>
      </w:pPr>
      <w:r w:rsidRPr="00291349">
        <w:rPr>
          <w:rFonts w:eastAsia="SimSun"/>
          <w:szCs w:val="22"/>
          <w:lang w:eastAsia="ja-JP"/>
        </w:rPr>
        <w:t>Whether to indicate the applicable list of bands for the feature of single MAC-CE to activate the same PDCCH TCI state IDs for multiple CCs/BWPs is up to capability discussion.</w:t>
      </w:r>
    </w:p>
    <w:p w14:paraId="762D19F5" w14:textId="77777777" w:rsidR="005B337A" w:rsidRPr="00291349" w:rsidRDefault="005B337A" w:rsidP="005B337A">
      <w:pPr>
        <w:numPr>
          <w:ilvl w:val="1"/>
          <w:numId w:val="80"/>
        </w:numPr>
        <w:overflowPunct w:val="0"/>
        <w:autoSpaceDE w:val="0"/>
        <w:autoSpaceDN w:val="0"/>
        <w:adjustRightInd w:val="0"/>
        <w:spacing w:after="0"/>
        <w:contextualSpacing/>
        <w:textAlignment w:val="baseline"/>
        <w:rPr>
          <w:rFonts w:eastAsia="SimSun"/>
          <w:szCs w:val="22"/>
          <w:lang w:eastAsia="ja-JP"/>
        </w:rPr>
      </w:pPr>
      <w:r w:rsidRPr="00291349">
        <w:rPr>
          <w:rFonts w:eastAsia="SimSun"/>
          <w:szCs w:val="22"/>
          <w:lang w:eastAsia="ja-JP"/>
        </w:rPr>
        <w:t>FFS on the UE capability signaling details</w:t>
      </w:r>
    </w:p>
    <w:p w14:paraId="3B49BC79" w14:textId="77777777" w:rsidR="005B337A" w:rsidRPr="00291349" w:rsidRDefault="005B337A" w:rsidP="005B337A">
      <w:pPr>
        <w:numPr>
          <w:ilvl w:val="0"/>
          <w:numId w:val="80"/>
        </w:numPr>
        <w:overflowPunct w:val="0"/>
        <w:autoSpaceDE w:val="0"/>
        <w:autoSpaceDN w:val="0"/>
        <w:adjustRightInd w:val="0"/>
        <w:spacing w:after="0"/>
        <w:contextualSpacing/>
        <w:textAlignment w:val="baseline"/>
        <w:rPr>
          <w:rFonts w:eastAsia="SimSun"/>
          <w:szCs w:val="22"/>
          <w:lang w:eastAsia="ja-JP"/>
        </w:rPr>
      </w:pPr>
      <w:r w:rsidRPr="00291349">
        <w:rPr>
          <w:rFonts w:eastAsia="SimSun"/>
          <w:szCs w:val="22"/>
          <w:lang w:eastAsia="ja-JP"/>
        </w:rPr>
        <w:t>Note: This at least applies to single TRP case.</w:t>
      </w:r>
    </w:p>
    <w:p w14:paraId="18BEB49D" w14:textId="77777777" w:rsidR="002B0D4B" w:rsidRPr="00291349" w:rsidRDefault="002B0D4B" w:rsidP="00291349">
      <w:pPr>
        <w:jc w:val="both"/>
        <w:rPr>
          <w:szCs w:val="22"/>
        </w:rPr>
      </w:pPr>
    </w:p>
    <w:p w14:paraId="5F780FC1" w14:textId="3199FEBD" w:rsidR="002C45D2" w:rsidRDefault="005B337A" w:rsidP="00291349">
      <w:pPr>
        <w:jc w:val="both"/>
        <w:rPr>
          <w:szCs w:val="22"/>
        </w:rPr>
      </w:pPr>
      <w:r w:rsidRPr="00291349">
        <w:rPr>
          <w:szCs w:val="22"/>
        </w:rPr>
        <w:t xml:space="preserve">It </w:t>
      </w:r>
      <w:r w:rsidR="002C45D2">
        <w:rPr>
          <w:szCs w:val="22"/>
        </w:rPr>
        <w:t>was</w:t>
      </w:r>
      <w:r w:rsidRPr="00291349">
        <w:rPr>
          <w:szCs w:val="22"/>
        </w:rPr>
        <w:t xml:space="preserve"> agreed </w:t>
      </w:r>
      <w:r w:rsidR="001D6212">
        <w:rPr>
          <w:szCs w:val="22"/>
        </w:rPr>
        <w:t xml:space="preserve">that a </w:t>
      </w:r>
      <w:r w:rsidR="00311AB4">
        <w:rPr>
          <w:szCs w:val="22"/>
        </w:rPr>
        <w:t>TCI</w:t>
      </w:r>
      <w:r w:rsidR="002C45D2">
        <w:rPr>
          <w:szCs w:val="22"/>
        </w:rPr>
        <w:t>-state</w:t>
      </w:r>
      <w:r w:rsidR="001D6212">
        <w:rPr>
          <w:szCs w:val="22"/>
        </w:rPr>
        <w:t xml:space="preserve"> ID</w:t>
      </w:r>
      <w:r w:rsidR="002C45D2">
        <w:rPr>
          <w:szCs w:val="22"/>
        </w:rPr>
        <w:t xml:space="preserve"> can be activated for a CORESET</w:t>
      </w:r>
      <w:r w:rsidR="001D6212">
        <w:rPr>
          <w:szCs w:val="22"/>
        </w:rPr>
        <w:t xml:space="preserve"> with the same CORESET ID</w:t>
      </w:r>
      <w:r w:rsidR="002C45D2">
        <w:rPr>
          <w:szCs w:val="22"/>
        </w:rPr>
        <w:t xml:space="preserve"> by a MAC CE for a set of CCs at least for the same band. As shown in </w:t>
      </w:r>
      <w:r w:rsidR="003B6AB1">
        <w:rPr>
          <w:szCs w:val="22"/>
        </w:rPr>
        <w:fldChar w:fldCharType="begin"/>
      </w:r>
      <w:r w:rsidR="003B6AB1">
        <w:rPr>
          <w:szCs w:val="22"/>
        </w:rPr>
        <w:instrText xml:space="preserve"> REF _Ref23845902 \h </w:instrText>
      </w:r>
      <w:r w:rsidR="003B6AB1">
        <w:rPr>
          <w:szCs w:val="22"/>
        </w:rPr>
      </w:r>
      <w:r w:rsidR="003B6AB1">
        <w:rPr>
          <w:szCs w:val="22"/>
        </w:rPr>
        <w:fldChar w:fldCharType="separate"/>
      </w:r>
      <w:r w:rsidR="003B6AB1">
        <w:t xml:space="preserve">Figure </w:t>
      </w:r>
      <w:r w:rsidR="003B6AB1">
        <w:rPr>
          <w:noProof/>
        </w:rPr>
        <w:t>1</w:t>
      </w:r>
      <w:r w:rsidR="003B6AB1">
        <w:rPr>
          <w:szCs w:val="22"/>
        </w:rPr>
        <w:fldChar w:fldCharType="end"/>
      </w:r>
      <w:r w:rsidR="003B6AB1">
        <w:rPr>
          <w:szCs w:val="22"/>
        </w:rPr>
        <w:t xml:space="preserve">, </w:t>
      </w:r>
      <w:r w:rsidR="009248B8">
        <w:rPr>
          <w:szCs w:val="22"/>
        </w:rPr>
        <w:t xml:space="preserve">since some operating bands are actually overlapped (ex. n257 and n258), it is also beneficial to extend this feature for inter-band CA. Thus, we have </w:t>
      </w:r>
    </w:p>
    <w:p w14:paraId="1E007EE6" w14:textId="77777777" w:rsidR="009248B8" w:rsidRDefault="009248B8" w:rsidP="009248B8">
      <w:pPr>
        <w:pStyle w:val="Caption"/>
        <w:spacing w:after="240"/>
      </w:pPr>
      <w:r>
        <w:t>Proposal 2: Support TCI-state update for CORESET for a set of CCs even in the different band (inter-band CA) by single MAC CE</w:t>
      </w:r>
    </w:p>
    <w:p w14:paraId="4ABFF65D" w14:textId="77777777" w:rsidR="00311AB4" w:rsidRDefault="00311AB4" w:rsidP="00291349">
      <w:pPr>
        <w:jc w:val="both"/>
        <w:rPr>
          <w:bCs/>
          <w:szCs w:val="22"/>
        </w:rPr>
      </w:pPr>
    </w:p>
    <w:p w14:paraId="7363186E" w14:textId="1A60A683" w:rsidR="00311AB4" w:rsidRDefault="00311AB4" w:rsidP="00291349">
      <w:pPr>
        <w:jc w:val="center"/>
        <w:rPr>
          <w:bCs/>
          <w:szCs w:val="22"/>
        </w:rPr>
      </w:pPr>
      <w:r>
        <w:rPr>
          <w:noProof/>
          <w:lang w:eastAsia="ko-KR"/>
        </w:rPr>
        <w:drawing>
          <wp:inline distT="0" distB="0" distL="0" distR="0" wp14:anchorId="08E0C0F7" wp14:editId="67147B58">
            <wp:extent cx="4795438" cy="1100747"/>
            <wp:effectExtent l="0" t="0" r="571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5240" cy="1119065"/>
                    </a:xfrm>
                    <a:prstGeom prst="rect">
                      <a:avLst/>
                    </a:prstGeom>
                  </pic:spPr>
                </pic:pic>
              </a:graphicData>
            </a:graphic>
          </wp:inline>
        </w:drawing>
      </w:r>
    </w:p>
    <w:p w14:paraId="415B364F" w14:textId="7A38F94B" w:rsidR="00311AB4" w:rsidRPr="00291349" w:rsidRDefault="00311AB4" w:rsidP="00291349">
      <w:pPr>
        <w:pStyle w:val="Caption"/>
        <w:jc w:val="center"/>
        <w:rPr>
          <w:bCs/>
          <w:szCs w:val="22"/>
        </w:rPr>
      </w:pPr>
      <w:bookmarkStart w:id="3" w:name="_Ref23845902"/>
      <w:r>
        <w:t xml:space="preserve">Figure </w:t>
      </w:r>
      <w:r>
        <w:rPr>
          <w:b w:val="0"/>
        </w:rPr>
        <w:fldChar w:fldCharType="begin"/>
      </w:r>
      <w:r>
        <w:instrText xml:space="preserve"> SEQ Figure \* ARABIC </w:instrText>
      </w:r>
      <w:r>
        <w:rPr>
          <w:b w:val="0"/>
        </w:rPr>
        <w:fldChar w:fldCharType="separate"/>
      </w:r>
      <w:r>
        <w:rPr>
          <w:noProof/>
        </w:rPr>
        <w:t>1</w:t>
      </w:r>
      <w:r>
        <w:rPr>
          <w:b w:val="0"/>
        </w:rPr>
        <w:fldChar w:fldCharType="end"/>
      </w:r>
      <w:bookmarkEnd w:id="3"/>
      <w:r>
        <w:t>: NR operating bands in FR2</w:t>
      </w:r>
    </w:p>
    <w:p w14:paraId="1FCF8DE3" w14:textId="3E10F303" w:rsidR="00666B37" w:rsidRPr="00291349" w:rsidRDefault="00666B37" w:rsidP="00BA1226">
      <w:pPr>
        <w:pStyle w:val="Caption"/>
        <w:rPr>
          <w:lang w:val="en-US"/>
        </w:rPr>
      </w:pPr>
    </w:p>
    <w:p w14:paraId="7EAA6C4E" w14:textId="20FA78D4" w:rsidR="0088002D" w:rsidRPr="002135E1" w:rsidRDefault="00020E0A" w:rsidP="002135E1">
      <w:pPr>
        <w:pStyle w:val="Heading1"/>
        <w:numPr>
          <w:ilvl w:val="0"/>
          <w:numId w:val="1"/>
        </w:numPr>
        <w:rPr>
          <w:rFonts w:eastAsia="MS Mincho" w:cs="Arial"/>
          <w:b/>
          <w:szCs w:val="32"/>
          <w:lang w:val="en-US"/>
        </w:rPr>
      </w:pPr>
      <w:r>
        <w:rPr>
          <w:rFonts w:eastAsia="MS Mincho" w:cs="Arial"/>
          <w:b/>
          <w:sz w:val="32"/>
          <w:szCs w:val="32"/>
          <w:lang w:val="en-US"/>
        </w:rPr>
        <w:t>I</w:t>
      </w:r>
      <w:r w:rsidR="005E179E" w:rsidRPr="002135E1">
        <w:rPr>
          <w:rFonts w:eastAsia="MS Mincho" w:cs="Arial"/>
          <w:b/>
          <w:sz w:val="32"/>
          <w:szCs w:val="32"/>
          <w:lang w:val="en-US"/>
        </w:rPr>
        <w:t>nterference</w:t>
      </w:r>
      <w:r w:rsidR="0088002D" w:rsidRPr="002135E1">
        <w:rPr>
          <w:rFonts w:eastAsia="MS Mincho" w:cs="Arial"/>
          <w:b/>
          <w:sz w:val="32"/>
          <w:szCs w:val="32"/>
          <w:lang w:val="en-US"/>
        </w:rPr>
        <w:t xml:space="preserve"> measurement for L1-SINR</w:t>
      </w:r>
    </w:p>
    <w:p w14:paraId="0CE8B3B9" w14:textId="585968EF" w:rsidR="0088002D" w:rsidRDefault="0088002D" w:rsidP="004934D5">
      <w:pPr>
        <w:jc w:val="both"/>
        <w:rPr>
          <w:bCs/>
          <w:szCs w:val="22"/>
        </w:rPr>
      </w:pPr>
      <w:r w:rsidRPr="00380D85">
        <w:rPr>
          <w:szCs w:val="22"/>
        </w:rPr>
        <w:t>It ha</w:t>
      </w:r>
      <w:r>
        <w:rPr>
          <w:szCs w:val="22"/>
        </w:rPr>
        <w:t>s</w:t>
      </w:r>
      <w:r w:rsidRPr="00380D85">
        <w:rPr>
          <w:szCs w:val="22"/>
        </w:rPr>
        <w:t xml:space="preserve"> been agreed to s</w:t>
      </w:r>
      <w:r w:rsidRPr="00380D85">
        <w:rPr>
          <w:rFonts w:eastAsia="Malgun Gothic"/>
          <w:szCs w:val="22"/>
          <w:lang w:eastAsia="ko-KR"/>
        </w:rPr>
        <w:t xml:space="preserve">pecify measurement and reporting of L1-SINR in Rel-16 at least </w:t>
      </w:r>
      <w:r w:rsidRPr="00380D85">
        <w:rPr>
          <w:szCs w:val="22"/>
          <w:lang w:eastAsia="ko-KR"/>
        </w:rPr>
        <w:t xml:space="preserve">targeting </w:t>
      </w:r>
      <w:r w:rsidRPr="00380D85">
        <w:rPr>
          <w:rFonts w:eastAsia="Malgun Gothic"/>
          <w:szCs w:val="22"/>
          <w:lang w:eastAsia="ko-KR"/>
        </w:rPr>
        <w:t>FR2</w:t>
      </w:r>
      <w:r w:rsidRPr="00380D85">
        <w:rPr>
          <w:szCs w:val="22"/>
          <w:lang w:eastAsia="ko-KR"/>
        </w:rPr>
        <w:t xml:space="preserve"> operation.</w:t>
      </w:r>
      <w:r w:rsidRPr="00380D85">
        <w:rPr>
          <w:rFonts w:eastAsia="Malgun Gothic"/>
          <w:szCs w:val="22"/>
          <w:lang w:eastAsia="ko-KR"/>
        </w:rPr>
        <w:t xml:space="preserve"> </w:t>
      </w:r>
      <w:r w:rsidRPr="00380D85">
        <w:rPr>
          <w:szCs w:val="22"/>
        </w:rPr>
        <w:t xml:space="preserve">Different from L1-RSRP, L1-SINR aims to reflect interference level in </w:t>
      </w:r>
      <w:r>
        <w:rPr>
          <w:szCs w:val="22"/>
        </w:rPr>
        <w:t>beam measurement report</w:t>
      </w:r>
      <w:r w:rsidRPr="00380D85">
        <w:rPr>
          <w:szCs w:val="22"/>
        </w:rPr>
        <w:t>.</w:t>
      </w:r>
      <w:r>
        <w:rPr>
          <w:szCs w:val="22"/>
        </w:rPr>
        <w:t xml:space="preserve"> This provides additional information for NW to select TX beams with better channel quality.</w:t>
      </w:r>
      <w:r w:rsidRPr="00380D85">
        <w:rPr>
          <w:szCs w:val="22"/>
        </w:rPr>
        <w:t xml:space="preserve"> Since the effect of interference can be captured in L1-SINR and the interference may come from neighboring cells or co-channel beams from the same TRP or multiple TRPs, we may further take inter-beam interference into consideration, especially for the operations with simultaneous transmission with </w:t>
      </w:r>
      <w:r w:rsidRPr="00380D85">
        <w:rPr>
          <w:bCs/>
          <w:szCs w:val="22"/>
        </w:rPr>
        <w:t>multiple-beams, which can be transmitted by multiple-panels or multi-TRPs.</w:t>
      </w:r>
      <w:r>
        <w:rPr>
          <w:bCs/>
          <w:szCs w:val="22"/>
        </w:rPr>
        <w:t xml:space="preserve"> </w:t>
      </w:r>
    </w:p>
    <w:p w14:paraId="56436F56" w14:textId="77777777" w:rsidR="0088002D" w:rsidRDefault="0088002D" w:rsidP="004934D5">
      <w:pPr>
        <w:jc w:val="both"/>
        <w:rPr>
          <w:bCs/>
          <w:szCs w:val="22"/>
        </w:rPr>
      </w:pPr>
      <w:r>
        <w:rPr>
          <w:bCs/>
          <w:szCs w:val="22"/>
        </w:rPr>
        <w:lastRenderedPageBreak/>
        <w:t xml:space="preserve">From our point of view, such interference consideration is of importance when group-based reporting is enabled. Since multiple beams are transmitted towards the UE simultaneously, selecting a beam or a beam group with preferred inter-beam interference is crucial for efficient transmission. </w:t>
      </w:r>
    </w:p>
    <w:p w14:paraId="1BCF969F" w14:textId="77777777" w:rsidR="0088002D" w:rsidRDefault="0088002D" w:rsidP="0088002D">
      <w:pPr>
        <w:rPr>
          <w:bCs/>
          <w:szCs w:val="22"/>
        </w:rPr>
      </w:pPr>
      <w:r>
        <w:rPr>
          <w:bCs/>
          <w:szCs w:val="22"/>
        </w:rPr>
        <w:t>We consider that the following use cases for L1-SINR:</w:t>
      </w:r>
    </w:p>
    <w:p w14:paraId="05D20A56" w14:textId="6D5F7BF8" w:rsidR="0088002D" w:rsidRDefault="0088002D" w:rsidP="004934D5">
      <w:pPr>
        <w:numPr>
          <w:ilvl w:val="0"/>
          <w:numId w:val="45"/>
        </w:numPr>
        <w:jc w:val="both"/>
        <w:rPr>
          <w:bCs/>
          <w:szCs w:val="22"/>
        </w:rPr>
      </w:pPr>
      <w:r>
        <w:rPr>
          <w:bCs/>
          <w:szCs w:val="22"/>
        </w:rPr>
        <w:t>Transmission based on panel/TRP selection: reported beams are used independently. For example, each beam is used in a TDM manner. In this case, no mutual interference between reported beams is required. In the case of carrier aggregation, with L1-SINR as a first-order indicator of channel quality</w:t>
      </w:r>
      <w:r w:rsidR="00FA5AC1">
        <w:rPr>
          <w:bCs/>
          <w:szCs w:val="22"/>
        </w:rPr>
        <w:t>, the</w:t>
      </w:r>
      <w:r>
        <w:rPr>
          <w:bCs/>
          <w:szCs w:val="22"/>
        </w:rPr>
        <w:t xml:space="preserve"> network can assess the relative quality of two or more CCs, therefore reporting L1-SINR instead of RSRP can be beneficial. From reported L1-SINR, the network can decide whether/what CSI reporting should be requested for a UE. As the interference encountered by a UE during L1-SINR measurement should reflect or be indicative of the interference encountered by a UE during PDSCH reception, e.g. with beam coordination among TRPs, the UE should be not tasked to guess how interference should be measured. From that, configuring interference measurement resources for UE, no matter its NZP IMR or ZP IMR, should be supported.</w:t>
      </w:r>
    </w:p>
    <w:p w14:paraId="65E33E09" w14:textId="77777777" w:rsidR="0088002D" w:rsidRDefault="0088002D" w:rsidP="0088002D">
      <w:pPr>
        <w:numPr>
          <w:ilvl w:val="1"/>
          <w:numId w:val="45"/>
        </w:numPr>
        <w:rPr>
          <w:bCs/>
          <w:szCs w:val="22"/>
        </w:rPr>
      </w:pPr>
      <w:r>
        <w:rPr>
          <w:bCs/>
          <w:szCs w:val="22"/>
        </w:rPr>
        <w:t>Specification impact analysis:</w:t>
      </w:r>
    </w:p>
    <w:p w14:paraId="59CFD355" w14:textId="77777777" w:rsidR="0088002D" w:rsidRDefault="0088002D" w:rsidP="0088002D">
      <w:pPr>
        <w:numPr>
          <w:ilvl w:val="2"/>
          <w:numId w:val="45"/>
        </w:numPr>
        <w:rPr>
          <w:bCs/>
          <w:szCs w:val="22"/>
        </w:rPr>
      </w:pPr>
      <w:r>
        <w:rPr>
          <w:bCs/>
          <w:szCs w:val="22"/>
        </w:rPr>
        <w:t>To support panel/TRP selection with L1-SINR, the CSI frame work for CSI acquisition as in Rel-15 can be extended for beam management:</w:t>
      </w:r>
    </w:p>
    <w:p w14:paraId="14EB4B95" w14:textId="77777777" w:rsidR="0088002D" w:rsidRDefault="0088002D" w:rsidP="0088002D">
      <w:pPr>
        <w:numPr>
          <w:ilvl w:val="3"/>
          <w:numId w:val="45"/>
        </w:numPr>
        <w:rPr>
          <w:bCs/>
          <w:szCs w:val="22"/>
        </w:rPr>
      </w:pPr>
      <w:r>
        <w:rPr>
          <w:bCs/>
          <w:szCs w:val="22"/>
        </w:rPr>
        <w:t>CMR + NZP IMR with report-quantity with “L1-SINR”</w:t>
      </w:r>
    </w:p>
    <w:p w14:paraId="21BF5598" w14:textId="77777777" w:rsidR="0088002D" w:rsidRDefault="0088002D" w:rsidP="0088002D">
      <w:pPr>
        <w:numPr>
          <w:ilvl w:val="3"/>
          <w:numId w:val="45"/>
        </w:numPr>
        <w:rPr>
          <w:bCs/>
          <w:szCs w:val="22"/>
        </w:rPr>
      </w:pPr>
      <w:r>
        <w:rPr>
          <w:bCs/>
          <w:szCs w:val="22"/>
        </w:rPr>
        <w:t>CMR + ZP IMR with report-quantity with “L1-SINR”</w:t>
      </w:r>
    </w:p>
    <w:p w14:paraId="4443601E" w14:textId="77777777" w:rsidR="0088002D" w:rsidRDefault="0088002D" w:rsidP="0088002D">
      <w:pPr>
        <w:numPr>
          <w:ilvl w:val="3"/>
          <w:numId w:val="45"/>
        </w:numPr>
        <w:rPr>
          <w:bCs/>
          <w:szCs w:val="22"/>
        </w:rPr>
      </w:pPr>
      <w:r>
        <w:rPr>
          <w:bCs/>
          <w:szCs w:val="22"/>
        </w:rPr>
        <w:t>CMR + ZP IMR + NZP IMR with report-quantity with “L1-SINR”</w:t>
      </w:r>
    </w:p>
    <w:p w14:paraId="67CB25B4" w14:textId="77777777" w:rsidR="0088002D" w:rsidRDefault="0088002D" w:rsidP="0088002D">
      <w:pPr>
        <w:numPr>
          <w:ilvl w:val="3"/>
          <w:numId w:val="45"/>
        </w:numPr>
        <w:rPr>
          <w:bCs/>
          <w:szCs w:val="22"/>
        </w:rPr>
      </w:pPr>
      <w:r>
        <w:rPr>
          <w:bCs/>
          <w:szCs w:val="22"/>
        </w:rPr>
        <w:t>And CMR is limited to 1 port or 2 ports NZP CSI-RS or SSB;</w:t>
      </w:r>
    </w:p>
    <w:p w14:paraId="77725D2D" w14:textId="77777777" w:rsidR="0088002D" w:rsidRDefault="0088002D" w:rsidP="004934D5">
      <w:pPr>
        <w:numPr>
          <w:ilvl w:val="0"/>
          <w:numId w:val="45"/>
        </w:numPr>
        <w:jc w:val="both"/>
        <w:rPr>
          <w:noProof/>
        </w:rPr>
      </w:pPr>
      <w:r>
        <w:rPr>
          <w:bCs/>
          <w:szCs w:val="22"/>
        </w:rPr>
        <w:t xml:space="preserve">Group-based transmission: reported Tx beams can be used at the same time, e.g. with two Rx panels on the UE side, each panel can be tuned to receive one Tx beam, hence for a single Rx panel’s point of view, a single Rx spatial filtering is used. Assume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oMath>
      <w:r>
        <w:rPr>
          <w:bCs/>
          <w:szCs w:val="22"/>
        </w:rPr>
        <w:t xml:space="preserve"> Tx candidate beams from TRP1, there are </w:t>
      </w:r>
      <m:oMath>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xml:space="preserve"> Tx candidate beams from TRP2, the UE needs to select the optimal beam combination</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1≤</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oMath>
      <w:r>
        <w:rPr>
          <w:bCs/>
          <w:szCs w:val="22"/>
        </w:rPr>
        <w:t>. As discussed by some companies already, if the same paradigm as used in 1) were reused for group-based transmission, the UE would be required to examine each possible combination with a single CMR and corresponding IMR(s), the required resources, the number of required configurations and UE complexity could explode.</w:t>
      </w:r>
      <w:r>
        <w:rPr>
          <w:noProof/>
        </w:rPr>
        <w:t xml:space="preserve"> Hence joint examining transmissions from two TRPs can be supported by configuring two CMRs for measurement</w:t>
      </w:r>
    </w:p>
    <w:p w14:paraId="796D9209" w14:textId="77777777" w:rsidR="0088002D" w:rsidRPr="004027E4" w:rsidRDefault="0088002D" w:rsidP="004934D5">
      <w:pPr>
        <w:ind w:left="720"/>
        <w:jc w:val="both"/>
        <w:rPr>
          <w:noProof/>
        </w:rPr>
      </w:pPr>
      <w:r>
        <w:rPr>
          <w:noProof/>
        </w:rPr>
        <w:t>Next</w:t>
      </w:r>
      <w:r w:rsidRPr="004027E4">
        <w:rPr>
          <w:noProof/>
        </w:rPr>
        <w:t xml:space="preserve">, we consider </w:t>
      </w:r>
      <w:r>
        <w:rPr>
          <w:noProof/>
        </w:rPr>
        <w:t>the necessity of reporting L1-SINR measurements from two TRPs</w:t>
      </w:r>
      <w:r w:rsidRPr="004027E4">
        <w:rPr>
          <w:noProof/>
        </w:rPr>
        <w:t>.  Let the receiver model be</w:t>
      </w:r>
    </w:p>
    <w:p w14:paraId="7B886BDC" w14:textId="77777777" w:rsidR="0088002D" w:rsidRPr="004027E4" w:rsidRDefault="0088002D" w:rsidP="0088002D">
      <w:pPr>
        <w:pStyle w:val="ListParagraph"/>
        <w:tabs>
          <w:tab w:val="center" w:pos="4800"/>
          <w:tab w:val="right" w:pos="9500"/>
        </w:tabs>
        <w:rPr>
          <w:noProof/>
        </w:rPr>
      </w:pPr>
      <w:r w:rsidRPr="004027E4">
        <w:rPr>
          <w:noProof/>
        </w:rPr>
        <w:tab/>
      </w:r>
      <m:oMath>
        <m:r>
          <w:rPr>
            <w:rFonts w:ascii="Cambria Math" w:hAnsi="Cambria Math"/>
            <w:noProof/>
          </w:rPr>
          <m:t>r=</m:t>
        </m:r>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r>
          <w:rPr>
            <w:rFonts w:ascii="Cambria Math" w:hAnsi="Cambria Math"/>
            <w:noProof/>
          </w:rPr>
          <m:t>+n</m:t>
        </m:r>
      </m:oMath>
    </w:p>
    <w:p w14:paraId="3B9EDC38" w14:textId="77777777" w:rsidR="0088002D" w:rsidRPr="004027E4" w:rsidRDefault="0088002D" w:rsidP="0088002D">
      <w:pPr>
        <w:tabs>
          <w:tab w:val="center" w:pos="4800"/>
          <w:tab w:val="right" w:pos="9500"/>
        </w:tabs>
        <w:jc w:val="both"/>
        <w:rPr>
          <w:noProof/>
        </w:rPr>
      </w:pPr>
      <w:r>
        <w:rPr>
          <w:noProof/>
        </w:rPr>
        <w:t xml:space="preserve">             </w:t>
      </w:r>
      <w:r>
        <w:rPr>
          <w:noProof/>
        </w:rPr>
        <w:tab/>
      </w:r>
      <w:r w:rsidRPr="004027E4">
        <w:rPr>
          <w:noProof/>
        </w:rPr>
        <w:t xml:space="preserve">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r>
          <m:rPr>
            <m:sty m:val="p"/>
          </m:rPr>
          <w:rPr>
            <w:rFonts w:ascii="Cambria Math" w:hAnsi="Cambria Math"/>
            <w:noProof/>
          </w:rPr>
          <m:t xml:space="preserve"> </m:t>
        </m:r>
      </m:oMath>
      <w:r w:rsidRPr="004027E4">
        <w:rPr>
          <w:noProof/>
        </w:rPr>
        <w:t xml:space="preserve"> is the channel response between a </w:t>
      </w:r>
      <w:r>
        <w:rPr>
          <w:noProof/>
        </w:rPr>
        <w:t>TRP 1</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1</m:t>
            </m:r>
          </m:sub>
        </m:sSub>
      </m:oMath>
      <w:r w:rsidRPr="004027E4">
        <w:rPr>
          <w:noProof/>
        </w:rPr>
        <w:t xml:space="preserve">; where </w:t>
      </w:r>
      <m:oMath>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r>
          <m:rPr>
            <m:sty m:val="p"/>
          </m:rPr>
          <w:rPr>
            <w:rFonts w:ascii="Cambria Math" w:hAnsi="Cambria Math"/>
            <w:noProof/>
          </w:rPr>
          <m:t xml:space="preserve"> </m:t>
        </m:r>
      </m:oMath>
      <w:r w:rsidRPr="004027E4">
        <w:rPr>
          <w:noProof/>
        </w:rPr>
        <w:t xml:space="preserve"> is the channel response between a </w:t>
      </w:r>
      <w:r>
        <w:rPr>
          <w:noProof/>
        </w:rPr>
        <w:t>TRP 2</w:t>
      </w:r>
      <w:r w:rsidRPr="004027E4">
        <w:rPr>
          <w:noProof/>
        </w:rPr>
        <w:t xml:space="preserve"> and a UE</w:t>
      </w:r>
      <w:r>
        <w:rPr>
          <w:noProof/>
        </w:rPr>
        <w:t xml:space="preserve"> with signal </w:t>
      </w:r>
      <m:oMath>
        <m:sSub>
          <m:sSubPr>
            <m:ctrlPr>
              <w:rPr>
                <w:rFonts w:ascii="Cambria Math" w:hAnsi="Cambria Math"/>
                <w:i/>
                <w:noProof/>
              </w:rPr>
            </m:ctrlPr>
          </m:sSubPr>
          <m:e>
            <m:r>
              <w:rPr>
                <w:rFonts w:ascii="Cambria Math" w:hAnsi="Cambria Math"/>
                <w:noProof/>
              </w:rPr>
              <m:t>x</m:t>
            </m:r>
          </m:e>
          <m:sub>
            <m:r>
              <w:rPr>
                <w:rFonts w:ascii="Cambria Math" w:hAnsi="Cambria Math"/>
                <w:noProof/>
              </w:rPr>
              <m:t>2</m:t>
            </m:r>
          </m:sub>
        </m:sSub>
      </m:oMath>
      <w:r>
        <w:rPr>
          <w:noProof/>
        </w:rPr>
        <w:t xml:space="preserve">, </w:t>
      </w:r>
      <w:r w:rsidRPr="004027E4">
        <w:rPr>
          <w:noProof/>
          <w:position w:val="-6"/>
        </w:rPr>
        <w:object w:dxaOrig="200" w:dyaOrig="220" w14:anchorId="23F81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0.3pt" o:ole="">
            <v:imagedata r:id="rId10" o:title=""/>
          </v:shape>
          <o:OLEObject Type="Embed" ProgID="Equation.3" ShapeID="_x0000_i1025" DrawAspect="Content" ObjectID="_1634730275" r:id="rId11"/>
        </w:object>
      </w:r>
      <w:r w:rsidRPr="004027E4">
        <w:rPr>
          <w:noProof/>
        </w:rPr>
        <w:t xml:space="preserve"> is a spatially white noise with standard deviation at 1. </w:t>
      </w:r>
    </w:p>
    <w:p w14:paraId="58732F94" w14:textId="77777777" w:rsidR="0088002D" w:rsidRPr="004027E4" w:rsidRDefault="0088002D" w:rsidP="0088002D">
      <w:pPr>
        <w:pStyle w:val="ListParagraph"/>
        <w:tabs>
          <w:tab w:val="center" w:pos="4800"/>
          <w:tab w:val="right" w:pos="9500"/>
        </w:tabs>
        <w:jc w:val="both"/>
        <w:rPr>
          <w:noProof/>
        </w:rPr>
      </w:pPr>
      <w:r w:rsidRPr="004027E4">
        <w:rPr>
          <w:noProof/>
        </w:rPr>
        <w:t xml:space="preserve">With the MMSE-IRC receiver, we first derive the SINR for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1 </m:t>
            </m:r>
          </m:sub>
        </m:sSub>
      </m:oMath>
      <w:r>
        <w:rPr>
          <w:noProof/>
        </w:rPr>
        <w:t xml:space="preserve">and </w:t>
      </w:r>
      <m:oMath>
        <m:sSub>
          <m:sSubPr>
            <m:ctrlPr>
              <w:rPr>
                <w:rFonts w:ascii="Cambria Math" w:hAnsi="Cambria Math"/>
                <w:i/>
                <w:noProof/>
              </w:rPr>
            </m:ctrlPr>
          </m:sSubPr>
          <m:e>
            <m:r>
              <w:rPr>
                <w:rFonts w:ascii="Cambria Math" w:hAnsi="Cambria Math"/>
                <w:noProof/>
              </w:rPr>
              <m:t>x</m:t>
            </m:r>
          </m:e>
          <m:sub>
            <m:r>
              <w:rPr>
                <w:rFonts w:ascii="Cambria Math" w:hAnsi="Cambria Math"/>
                <w:noProof/>
              </w:rPr>
              <m:t xml:space="preserve">2 </m:t>
            </m:r>
          </m:sub>
        </m:sSub>
      </m:oMath>
      <w:r w:rsidRPr="004027E4">
        <w:rPr>
          <w:noProof/>
        </w:rPr>
        <w:t>:</w:t>
      </w:r>
    </w:p>
    <w:p w14:paraId="55F5156F" w14:textId="77777777" w:rsidR="0088002D" w:rsidRPr="004027E4" w:rsidRDefault="0088002D" w:rsidP="0088002D">
      <w:pPr>
        <w:pStyle w:val="ListParagraph"/>
        <w:tabs>
          <w:tab w:val="center" w:pos="4800"/>
          <w:tab w:val="right" w:pos="9500"/>
        </w:tabs>
        <w:jc w:val="both"/>
        <w:rPr>
          <w:noProof/>
        </w:rPr>
      </w:pPr>
      <m:oMathPara>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1</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+1)</m:t>
          </m:r>
        </m:oMath>
      </m:oMathPara>
    </w:p>
    <w:p w14:paraId="364426E8" w14:textId="77777777" w:rsidR="0088002D" w:rsidRPr="004027E4" w:rsidRDefault="0088002D" w:rsidP="0088002D">
      <w:pPr>
        <w:tabs>
          <w:tab w:val="center" w:pos="4800"/>
          <w:tab w:val="right" w:pos="9500"/>
        </w:tabs>
        <w:ind w:left="360"/>
        <w:jc w:val="both"/>
        <w:rPr>
          <w:noProof/>
        </w:rPr>
      </w:pPr>
      <w:r>
        <w:rPr>
          <w:noProof/>
        </w:rPr>
        <w:t xml:space="preserve">                                                       </w:t>
      </w:r>
      <m:oMath>
        <m:r>
          <w:rPr>
            <w:rFonts w:ascii="Cambria Math" w:hAnsi="Cambria Math"/>
            <w:noProof/>
          </w:rPr>
          <m:t>SIN</m:t>
        </m:r>
        <m:sSub>
          <m:sSubPr>
            <m:ctrlPr>
              <w:rPr>
                <w:rFonts w:ascii="Cambria Math" w:hAnsi="Cambria Math"/>
                <w:i/>
                <w:noProof/>
              </w:rPr>
            </m:ctrlPr>
          </m:sSubPr>
          <m:e>
            <m:r>
              <w:rPr>
                <w:rFonts w:ascii="Cambria Math" w:hAnsi="Cambria Math"/>
                <w:noProof/>
              </w:rPr>
              <m:t>R</m:t>
            </m:r>
          </m:e>
          <m:sub>
            <m:r>
              <w:rPr>
                <w:rFonts w:ascii="Cambria Math" w:hAnsi="Cambria Math"/>
                <w:noProof/>
              </w:rPr>
              <m:t>2</m:t>
            </m:r>
          </m:sub>
        </m:sSub>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Sup>
                  <m:sSubSupPr>
                    <m:ctrlPr>
                      <w:rPr>
                        <w:rFonts w:ascii="Cambria Math" w:hAnsi="Cambria Math"/>
                        <w:i/>
                        <w:noProof/>
                      </w:rPr>
                    </m:ctrlPr>
                  </m:sSubSupPr>
                  <m:e>
                    <m:r>
                      <w:rPr>
                        <w:rFonts w:ascii="Cambria Math" w:hAnsi="Cambria Math"/>
                        <w:noProof/>
                      </w:rPr>
                      <m:t>H</m:t>
                    </m:r>
                  </m:e>
                  <m:sub>
                    <m:r>
                      <w:rPr>
                        <w:rFonts w:ascii="Cambria Math" w:hAnsi="Cambria Math"/>
                        <w:noProof/>
                      </w:rPr>
                      <m:t>1</m:t>
                    </m:r>
                  </m:sub>
                  <m:sup>
                    <m:r>
                      <w:rPr>
                        <w:rFonts w:ascii="Cambria Math" w:hAnsi="Cambria Math"/>
                        <w:noProof/>
                      </w:rPr>
                      <m:t>H</m:t>
                    </m:r>
                  </m:sup>
                </m:sSubSup>
                <m:sSub>
                  <m:sSubPr>
                    <m:ctrlPr>
                      <w:rPr>
                        <w:rFonts w:ascii="Cambria Math" w:hAnsi="Cambria Math"/>
                        <w:i/>
                        <w:noProof/>
                      </w:rPr>
                    </m:ctrlPr>
                  </m:sSubPr>
                  <m:e>
                    <m:r>
                      <w:rPr>
                        <w:rFonts w:ascii="Cambria Math" w:hAnsi="Cambria Math"/>
                        <w:noProof/>
                      </w:rPr>
                      <m:t>H</m:t>
                    </m:r>
                  </m:e>
                  <m:sub>
                    <m:r>
                      <w:rPr>
                        <w:rFonts w:ascii="Cambria Math" w:hAnsi="Cambria Math"/>
                        <w:noProof/>
                      </w:rPr>
                      <m:t>2</m:t>
                    </m:r>
                  </m:sub>
                </m:sSub>
              </m:e>
            </m:d>
          </m:e>
          <m:sup>
            <m:r>
              <w:rPr>
                <w:rFonts w:ascii="Cambria Math" w:hAnsi="Cambria Math"/>
                <w:noProof/>
              </w:rPr>
              <m:t>2</m:t>
            </m:r>
          </m:sup>
        </m:sSup>
        <m:r>
          <w:rPr>
            <w:rFonts w:ascii="Cambria Math" w:hAnsi="Cambria Math"/>
            <w:noProof/>
          </w:rPr>
          <m: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H</m:t>
                    </m:r>
                  </m:e>
                  <m:sub>
                    <m:r>
                      <w:rPr>
                        <w:rFonts w:ascii="Cambria Math" w:hAnsi="Cambria Math"/>
                        <w:noProof/>
                      </w:rPr>
                      <m:t>1</m:t>
                    </m:r>
                  </m:sub>
                </m:sSub>
              </m:e>
            </m:d>
          </m:e>
          <m:sup>
            <m:r>
              <w:rPr>
                <w:rFonts w:ascii="Cambria Math" w:hAnsi="Cambria Math"/>
                <w:noProof/>
              </w:rPr>
              <m:t>2</m:t>
            </m:r>
          </m:sup>
        </m:sSup>
        <m:r>
          <w:rPr>
            <w:rFonts w:ascii="Cambria Math" w:hAnsi="Cambria Math"/>
            <w:noProof/>
          </w:rPr>
          <m:t>+1)</m:t>
        </m:r>
      </m:oMath>
    </w:p>
    <w:p w14:paraId="6F95551D" w14:textId="77777777" w:rsidR="0088002D" w:rsidRDefault="0088002D" w:rsidP="0088002D">
      <w:pPr>
        <w:ind w:left="720"/>
        <w:rPr>
          <w:bCs/>
          <w:noProof/>
          <w:szCs w:val="22"/>
        </w:rPr>
      </w:pPr>
      <w:r>
        <w:rPr>
          <w:noProof/>
        </w:rPr>
        <w:t xml:space="preserve">          From the reported pair of L1-SINRs, the gNB can deduce roughly the link qualities if two Tx beams </w:t>
      </w:r>
      <m:oMath>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n</m:t>
                </m:r>
              </m:e>
              <m:sub>
                <m:r>
                  <w:rPr>
                    <w:rFonts w:ascii="Cambria Math" w:hAnsi="Cambria Math"/>
                    <w:szCs w:val="22"/>
                  </w:rPr>
                  <m:t>2</m:t>
                </m:r>
              </m:sub>
            </m:sSub>
          </m:e>
        </m:d>
      </m:oMath>
      <w:r>
        <w:rPr>
          <w:bCs/>
          <w:noProof/>
          <w:szCs w:val="22"/>
        </w:rPr>
        <w:t xml:space="preserve"> are exploited simultaneously.  </w:t>
      </w:r>
    </w:p>
    <w:p w14:paraId="4EEF3AA3" w14:textId="6E3BAF62" w:rsidR="0088002D" w:rsidRDefault="0088002D" w:rsidP="0088002D">
      <w:pPr>
        <w:rPr>
          <w:bCs/>
          <w:szCs w:val="22"/>
        </w:rPr>
      </w:pPr>
      <w:r>
        <w:rPr>
          <w:bCs/>
          <w:szCs w:val="22"/>
        </w:rPr>
        <w:t xml:space="preserve">In summary, NW needs L1-SINR report both with and without inter-beam interference consideration.  </w:t>
      </w:r>
    </w:p>
    <w:p w14:paraId="14FCAAF3" w14:textId="77777777" w:rsidR="006C0251" w:rsidRPr="00BA1226" w:rsidRDefault="006C0251" w:rsidP="006C0251">
      <w:pPr>
        <w:spacing w:after="0"/>
        <w:rPr>
          <w:rFonts w:ascii="Times" w:eastAsia="Batang" w:hAnsi="Times"/>
          <w:szCs w:val="22"/>
          <w:lang w:val="en-GB"/>
        </w:rPr>
      </w:pPr>
      <w:r w:rsidRPr="00126992">
        <w:rPr>
          <w:szCs w:val="22"/>
        </w:rPr>
        <w:lastRenderedPageBreak/>
        <w:t xml:space="preserve">We have the following proposal from </w:t>
      </w:r>
      <w:r w:rsidRPr="00BA1226">
        <w:rPr>
          <w:rFonts w:ascii="Times" w:eastAsia="Batang" w:hAnsi="Times"/>
          <w:szCs w:val="22"/>
          <w:lang w:val="en-GB"/>
        </w:rPr>
        <w:t>[98-NR-2</w:t>
      </w:r>
      <w:r>
        <w:rPr>
          <w:rFonts w:ascii="Times" w:eastAsia="Batang" w:hAnsi="Times"/>
          <w:szCs w:val="22"/>
          <w:lang w:val="en-GB"/>
        </w:rPr>
        <w:t>3</w:t>
      </w:r>
      <w:r w:rsidRPr="00BA1226">
        <w:rPr>
          <w:rFonts w:ascii="Times" w:eastAsia="Batang" w:hAnsi="Times"/>
          <w:szCs w:val="22"/>
          <w:lang w:val="en-GB"/>
        </w:rPr>
        <w:t xml:space="preserve">] Email discussion on </w:t>
      </w:r>
      <w:r w:rsidRPr="005810A3">
        <w:rPr>
          <w:rFonts w:ascii="Times" w:eastAsia="Batang" w:hAnsi="Times"/>
          <w:szCs w:val="22"/>
          <w:lang w:val="en-GB"/>
        </w:rPr>
        <w:t>possible alternatives for Z, Z' and CPU occupancy rule for L1-SINR</w:t>
      </w:r>
      <w:r>
        <w:rPr>
          <w:rFonts w:ascii="Times" w:eastAsia="Batang" w:hAnsi="Times"/>
          <w:szCs w:val="22"/>
          <w:lang w:val="en-GB"/>
        </w:rPr>
        <w:t>.</w:t>
      </w:r>
    </w:p>
    <w:p w14:paraId="3C36E72C" w14:textId="77777777" w:rsidR="006C0251" w:rsidRPr="00291349" w:rsidRDefault="006C0251" w:rsidP="006C0251">
      <w:pPr>
        <w:spacing w:after="0"/>
        <w:rPr>
          <w:rFonts w:ascii="Times" w:eastAsia="Batang" w:hAnsi="Times"/>
          <w:szCs w:val="22"/>
        </w:rPr>
      </w:pPr>
    </w:p>
    <w:p w14:paraId="214F53FC" w14:textId="77777777" w:rsidR="006C0251" w:rsidRPr="00291349" w:rsidRDefault="006C0251" w:rsidP="006C0251">
      <w:pPr>
        <w:spacing w:after="0"/>
        <w:rPr>
          <w:rFonts w:ascii="Calibri" w:eastAsiaTheme="minorEastAsia" w:hAnsi="Calibri"/>
          <w:szCs w:val="22"/>
          <w:lang w:eastAsia="ko-KR"/>
        </w:rPr>
      </w:pPr>
      <w:r w:rsidRPr="00291349">
        <w:rPr>
          <w:rFonts w:ascii="Times" w:eastAsia="Batang" w:hAnsi="Times"/>
          <w:b/>
          <w:bCs/>
          <w:szCs w:val="22"/>
          <w:u w:val="single"/>
          <w:lang w:val="en-GB"/>
        </w:rPr>
        <w:t>Proposal</w:t>
      </w:r>
    </w:p>
    <w:p w14:paraId="7B55AB95" w14:textId="77777777" w:rsidR="006C0251" w:rsidRPr="00291349" w:rsidRDefault="006C0251" w:rsidP="006C0251">
      <w:pPr>
        <w:spacing w:after="0"/>
        <w:rPr>
          <w:rFonts w:ascii="Times" w:eastAsia="Batang" w:hAnsi="Times"/>
          <w:szCs w:val="22"/>
          <w:lang w:val="en-GB"/>
        </w:rPr>
      </w:pPr>
    </w:p>
    <w:p w14:paraId="20A46672" w14:textId="77777777" w:rsidR="006C0251" w:rsidRPr="00291349" w:rsidRDefault="006C0251" w:rsidP="006C0251">
      <w:pPr>
        <w:spacing w:after="0"/>
        <w:rPr>
          <w:rFonts w:ascii="Times" w:eastAsia="Batang" w:hAnsi="Times"/>
          <w:szCs w:val="22"/>
          <w:lang w:val="en-GB"/>
        </w:rPr>
      </w:pPr>
      <w:r w:rsidRPr="00291349">
        <w:rPr>
          <w:rFonts w:ascii="Times" w:eastAsia="Batang" w:hAnsi="Times"/>
          <w:szCs w:val="22"/>
          <w:lang w:val="en-GB"/>
        </w:rPr>
        <w:t xml:space="preserve">For a CSI report, when reportQuantity is configured to be “ssb-Index-SINR” or “csi-SINR”, the value of O_CPU = 1. </w:t>
      </w:r>
    </w:p>
    <w:p w14:paraId="5DFAEBDE" w14:textId="77777777" w:rsidR="006C0251" w:rsidRPr="00291349" w:rsidRDefault="006C0251" w:rsidP="006C0251">
      <w:pPr>
        <w:spacing w:after="0"/>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 xml:space="preserve">Make the decision of Z and Z’ based on one of the following alternatives </w:t>
      </w:r>
    </w:p>
    <w:p w14:paraId="7E379649" w14:textId="77777777" w:rsidR="006C0251" w:rsidRPr="00291349" w:rsidRDefault="006C0251" w:rsidP="006C0251">
      <w:pPr>
        <w:spacing w:after="0"/>
        <w:ind w:left="284"/>
        <w:rPr>
          <w:rFonts w:ascii="Times" w:eastAsia="Batang" w:hAnsi="Times"/>
          <w:szCs w:val="22"/>
          <w:lang w:val="en-GB"/>
        </w:rPr>
      </w:pPr>
      <w:r w:rsidRPr="00291349">
        <w:rPr>
          <w:rFonts w:ascii="Times" w:eastAsia="Batang" w:hAnsi="Times"/>
          <w:szCs w:val="22"/>
          <w:lang w:val="en-GB"/>
        </w:rPr>
        <w:t>o</w:t>
      </w:r>
      <w:r w:rsidRPr="00291349">
        <w:rPr>
          <w:rFonts w:ascii="Times" w:eastAsia="Batang" w:hAnsi="Times"/>
          <w:szCs w:val="22"/>
          <w:lang w:val="en-GB"/>
        </w:rPr>
        <w:tab/>
        <w:t xml:space="preserve">Alt 1: </w:t>
      </w:r>
    </w:p>
    <w:p w14:paraId="358D6B47"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 = Z3 + a fixed offset value, where the detail value is FFS</w:t>
      </w:r>
    </w:p>
    <w:p w14:paraId="0D5946E8"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w:t>
      </w:r>
      <w:r w:rsidRPr="00291349">
        <w:rPr>
          <w:rFonts w:ascii="Times" w:eastAsia="Batang" w:hAnsi="Times" w:hint="eastAsia"/>
          <w:szCs w:val="22"/>
          <w:lang w:val="en-GB"/>
        </w:rPr>
        <w:t>’</w:t>
      </w:r>
      <w:r w:rsidRPr="00291349">
        <w:rPr>
          <w:rFonts w:ascii="Times" w:eastAsia="Batang" w:hAnsi="Times"/>
          <w:szCs w:val="22"/>
          <w:lang w:val="en-GB"/>
        </w:rPr>
        <w:t xml:space="preserve"> = beamReportTimingforL1-SINR</w:t>
      </w:r>
    </w:p>
    <w:p w14:paraId="3501EA07" w14:textId="77777777" w:rsidR="006C0251" w:rsidRPr="00291349" w:rsidRDefault="006C0251" w:rsidP="006C0251">
      <w:pPr>
        <w:spacing w:after="0"/>
        <w:ind w:left="852"/>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beamReportTimingforL1-SINR is separately reported from beamReportTiming for L1-RSRP</w:t>
      </w:r>
    </w:p>
    <w:p w14:paraId="257BEDC7" w14:textId="77777777" w:rsidR="006C0251" w:rsidRPr="00291349" w:rsidRDefault="006C0251" w:rsidP="006C0251">
      <w:pPr>
        <w:spacing w:after="0"/>
        <w:ind w:left="284"/>
        <w:rPr>
          <w:rFonts w:ascii="Times" w:eastAsia="Batang" w:hAnsi="Times"/>
          <w:szCs w:val="22"/>
          <w:lang w:val="en-GB"/>
        </w:rPr>
      </w:pPr>
      <w:r w:rsidRPr="00291349">
        <w:rPr>
          <w:rFonts w:ascii="Times" w:eastAsia="Batang" w:hAnsi="Times"/>
          <w:szCs w:val="22"/>
          <w:lang w:val="en-GB"/>
        </w:rPr>
        <w:t>o</w:t>
      </w:r>
      <w:r w:rsidRPr="00291349">
        <w:rPr>
          <w:rFonts w:ascii="Times" w:eastAsia="Batang" w:hAnsi="Times"/>
          <w:szCs w:val="22"/>
          <w:lang w:val="en-GB"/>
        </w:rPr>
        <w:tab/>
        <w:t>Alt 2:</w:t>
      </w:r>
    </w:p>
    <w:p w14:paraId="1E5DBFF7"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 = Z1</w:t>
      </w:r>
    </w:p>
    <w:p w14:paraId="0D9A23F3"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w:t>
      </w:r>
      <w:r w:rsidRPr="00291349">
        <w:rPr>
          <w:rFonts w:ascii="Times" w:eastAsia="Batang" w:hAnsi="Times" w:hint="eastAsia"/>
          <w:szCs w:val="22"/>
          <w:lang w:val="en-GB"/>
        </w:rPr>
        <w:t>’</w:t>
      </w:r>
      <w:r w:rsidRPr="00291349">
        <w:rPr>
          <w:rFonts w:ascii="Times" w:eastAsia="Batang" w:hAnsi="Times"/>
          <w:szCs w:val="22"/>
          <w:lang w:val="en-GB"/>
        </w:rPr>
        <w:t xml:space="preserve"> = Z1</w:t>
      </w:r>
      <w:r w:rsidRPr="00291349">
        <w:rPr>
          <w:rFonts w:ascii="Times" w:eastAsia="Batang" w:hAnsi="Times" w:hint="eastAsia"/>
          <w:szCs w:val="22"/>
          <w:lang w:val="en-GB"/>
        </w:rPr>
        <w:t>’</w:t>
      </w:r>
    </w:p>
    <w:p w14:paraId="6D61E41C"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Z1 and Z1</w:t>
      </w:r>
      <w:r w:rsidRPr="00291349">
        <w:rPr>
          <w:rFonts w:ascii="Times" w:eastAsia="Batang" w:hAnsi="Times" w:hint="eastAsia"/>
          <w:szCs w:val="22"/>
          <w:lang w:val="en-GB"/>
        </w:rPr>
        <w:t>’</w:t>
      </w:r>
      <w:r w:rsidRPr="00291349">
        <w:rPr>
          <w:rFonts w:ascii="Times" w:eastAsia="Batang" w:hAnsi="Times"/>
          <w:szCs w:val="22"/>
          <w:lang w:val="en-GB"/>
        </w:rPr>
        <w:t xml:space="preserve"> are selected from Table 5.4-2 in 38.214</w:t>
      </w:r>
    </w:p>
    <w:p w14:paraId="5F790746" w14:textId="77777777" w:rsidR="006C0251" w:rsidRPr="00291349" w:rsidRDefault="006C0251" w:rsidP="006C0251">
      <w:pPr>
        <w:spacing w:after="0"/>
        <w:ind w:left="284"/>
        <w:rPr>
          <w:rFonts w:ascii="Times" w:eastAsia="Batang" w:hAnsi="Times"/>
          <w:szCs w:val="22"/>
          <w:lang w:val="en-GB"/>
        </w:rPr>
      </w:pPr>
      <w:r w:rsidRPr="00291349">
        <w:rPr>
          <w:rFonts w:ascii="Times" w:eastAsia="Batang" w:hAnsi="Times"/>
          <w:szCs w:val="22"/>
          <w:lang w:val="en-GB"/>
        </w:rPr>
        <w:t>o</w:t>
      </w:r>
      <w:r w:rsidRPr="00291349">
        <w:rPr>
          <w:rFonts w:ascii="Times" w:eastAsia="Batang" w:hAnsi="Times"/>
          <w:szCs w:val="22"/>
          <w:lang w:val="en-GB"/>
        </w:rPr>
        <w:tab/>
        <w:t>Alt 3:</w:t>
      </w:r>
    </w:p>
    <w:p w14:paraId="4118E112"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 = Z3</w:t>
      </w:r>
    </w:p>
    <w:p w14:paraId="727F44CE"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w:t>
      </w:r>
      <w:r w:rsidRPr="00291349">
        <w:rPr>
          <w:rFonts w:ascii="Times" w:eastAsia="Batang" w:hAnsi="Times" w:hint="eastAsia"/>
          <w:szCs w:val="22"/>
          <w:lang w:val="en-GB"/>
        </w:rPr>
        <w:t>’</w:t>
      </w:r>
      <w:r w:rsidRPr="00291349">
        <w:rPr>
          <w:rFonts w:ascii="Times" w:eastAsia="Batang" w:hAnsi="Times"/>
          <w:szCs w:val="22"/>
          <w:lang w:val="en-GB"/>
        </w:rPr>
        <w:t xml:space="preserve"> = Z3</w:t>
      </w:r>
      <w:r w:rsidRPr="00291349">
        <w:rPr>
          <w:rFonts w:ascii="Times" w:eastAsia="Batang" w:hAnsi="Times" w:hint="eastAsia"/>
          <w:szCs w:val="22"/>
          <w:lang w:val="en-GB"/>
        </w:rPr>
        <w:t>’</w:t>
      </w:r>
    </w:p>
    <w:p w14:paraId="177F87CD" w14:textId="77777777" w:rsidR="006C0251" w:rsidRPr="00291349" w:rsidRDefault="006C0251" w:rsidP="006C0251">
      <w:pPr>
        <w:spacing w:after="0"/>
        <w:ind w:left="284"/>
        <w:rPr>
          <w:rFonts w:ascii="Times" w:eastAsia="Batang" w:hAnsi="Times"/>
          <w:szCs w:val="22"/>
          <w:lang w:val="en-GB"/>
        </w:rPr>
      </w:pPr>
      <w:r w:rsidRPr="00291349">
        <w:rPr>
          <w:rFonts w:ascii="Times" w:eastAsia="Batang" w:hAnsi="Times"/>
          <w:szCs w:val="22"/>
          <w:lang w:val="en-GB"/>
        </w:rPr>
        <w:t>o</w:t>
      </w:r>
      <w:r w:rsidRPr="00291349">
        <w:rPr>
          <w:rFonts w:ascii="Times" w:eastAsia="Batang" w:hAnsi="Times"/>
          <w:szCs w:val="22"/>
          <w:lang w:val="en-GB"/>
        </w:rPr>
        <w:tab/>
        <w:t>Alt 4</w:t>
      </w:r>
    </w:p>
    <w:p w14:paraId="12898BC8"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 = N * Z3</w:t>
      </w:r>
    </w:p>
    <w:p w14:paraId="41C435FF"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Z</w:t>
      </w:r>
      <w:r w:rsidRPr="00291349">
        <w:rPr>
          <w:rFonts w:ascii="Times" w:eastAsia="Batang" w:hAnsi="Times" w:hint="eastAsia"/>
          <w:szCs w:val="22"/>
          <w:lang w:val="en-GB"/>
        </w:rPr>
        <w:t>’</w:t>
      </w:r>
      <w:r w:rsidRPr="00291349">
        <w:rPr>
          <w:rFonts w:ascii="Times" w:eastAsia="Batang" w:hAnsi="Times"/>
          <w:szCs w:val="22"/>
          <w:lang w:val="en-GB"/>
        </w:rPr>
        <w:t xml:space="preserve"> = N * Z3</w:t>
      </w:r>
      <w:r w:rsidRPr="00291349">
        <w:rPr>
          <w:rFonts w:ascii="Times" w:eastAsia="Batang" w:hAnsi="Times" w:hint="eastAsia"/>
          <w:szCs w:val="22"/>
          <w:lang w:val="en-GB"/>
        </w:rPr>
        <w:t>’</w:t>
      </w:r>
    </w:p>
    <w:p w14:paraId="1F585646" w14:textId="77777777" w:rsidR="006C0251" w:rsidRPr="00291349" w:rsidRDefault="006C0251" w:rsidP="006C0251">
      <w:pPr>
        <w:spacing w:after="0"/>
        <w:ind w:left="568"/>
        <w:rPr>
          <w:rFonts w:ascii="Times" w:eastAsia="Batang" w:hAnsi="Times"/>
          <w:szCs w:val="22"/>
          <w:lang w:val="en-GB"/>
        </w:rPr>
      </w:pPr>
      <w:r w:rsidRPr="00291349">
        <w:rPr>
          <w:rFonts w:ascii="Times" w:eastAsia="Batang" w:hAnsi="Times"/>
          <w:szCs w:val="22"/>
          <w:lang w:val="en-GB"/>
        </w:rPr>
        <w:t></w:t>
      </w:r>
      <w:r w:rsidRPr="00291349">
        <w:rPr>
          <w:rFonts w:ascii="Times" w:eastAsia="Batang" w:hAnsi="Times"/>
          <w:szCs w:val="22"/>
          <w:lang w:val="en-GB"/>
        </w:rPr>
        <w:tab/>
        <w:t>N&gt;1, FFS detailed value, e.g. N=2</w:t>
      </w:r>
    </w:p>
    <w:p w14:paraId="1AF27EB8" w14:textId="77777777" w:rsidR="006C0251" w:rsidRPr="00291349" w:rsidRDefault="006C0251" w:rsidP="006C0251">
      <w:pPr>
        <w:spacing w:after="0"/>
        <w:ind w:left="284"/>
        <w:rPr>
          <w:rFonts w:ascii="Times" w:eastAsia="Batang" w:hAnsi="Times"/>
          <w:szCs w:val="22"/>
          <w:lang w:val="en-GB"/>
        </w:rPr>
      </w:pPr>
      <w:r w:rsidRPr="00291349">
        <w:rPr>
          <w:rFonts w:ascii="Times" w:eastAsia="Batang" w:hAnsi="Times"/>
          <w:szCs w:val="22"/>
          <w:lang w:val="en-GB"/>
        </w:rPr>
        <w:t>o</w:t>
      </w:r>
      <w:r w:rsidRPr="00291349">
        <w:rPr>
          <w:rFonts w:ascii="Times" w:eastAsia="Batang" w:hAnsi="Times"/>
          <w:szCs w:val="22"/>
          <w:lang w:val="en-GB"/>
        </w:rPr>
        <w:tab/>
        <w:t>FFS: additional UE capability e.g. maximum number of total number of CMR/IMR for L1-SINR measurement across CCs within a slot.</w:t>
      </w:r>
    </w:p>
    <w:p w14:paraId="25302FF6" w14:textId="77777777" w:rsidR="006C0251" w:rsidRDefault="006C0251" w:rsidP="006C0251">
      <w:pPr>
        <w:rPr>
          <w:szCs w:val="22"/>
        </w:rPr>
      </w:pPr>
    </w:p>
    <w:p w14:paraId="44ACC0EA" w14:textId="3AD17EEA" w:rsidR="006C0251" w:rsidRDefault="00182596" w:rsidP="006C0251">
      <w:pPr>
        <w:rPr>
          <w:szCs w:val="22"/>
        </w:rPr>
      </w:pPr>
      <w:r w:rsidRPr="00182596">
        <w:rPr>
          <w:szCs w:val="22"/>
        </w:rPr>
        <w:t xml:space="preserve">For </w:t>
      </w:r>
      <w:r>
        <w:rPr>
          <w:szCs w:val="22"/>
        </w:rPr>
        <w:t>L1-</w:t>
      </w:r>
      <w:r w:rsidRPr="00182596">
        <w:rPr>
          <w:szCs w:val="22"/>
        </w:rPr>
        <w:t xml:space="preserve">SINR report, </w:t>
      </w:r>
      <w:r>
        <w:rPr>
          <w:szCs w:val="22"/>
        </w:rPr>
        <w:t xml:space="preserve">the </w:t>
      </w:r>
      <w:r w:rsidRPr="00182596">
        <w:rPr>
          <w:szCs w:val="22"/>
        </w:rPr>
        <w:t xml:space="preserve">UE shall estimate the power of both CMR and IMR. The processing time depends on how many resources UE shall measure. As </w:t>
      </w:r>
      <w:r>
        <w:rPr>
          <w:szCs w:val="22"/>
        </w:rPr>
        <w:t>L1-</w:t>
      </w:r>
      <w:r w:rsidRPr="00182596">
        <w:rPr>
          <w:szCs w:val="22"/>
        </w:rPr>
        <w:t xml:space="preserve">SINR report configuration is based on </w:t>
      </w:r>
      <w:r>
        <w:rPr>
          <w:szCs w:val="22"/>
        </w:rPr>
        <w:t>1-1 mapping between CMR and IMR,</w:t>
      </w:r>
      <w:r w:rsidRPr="00182596">
        <w:rPr>
          <w:szCs w:val="22"/>
        </w:rPr>
        <w:t xml:space="preserve"> the number of resources </w:t>
      </w:r>
      <w:r>
        <w:rPr>
          <w:szCs w:val="22"/>
        </w:rPr>
        <w:t>to measure can be</w:t>
      </w:r>
      <w:r w:rsidRPr="00182596">
        <w:rPr>
          <w:szCs w:val="22"/>
        </w:rPr>
        <w:t xml:space="preserve"> doubled. Th</w:t>
      </w:r>
      <w:r w:rsidR="00AE2112">
        <w:rPr>
          <w:szCs w:val="22"/>
        </w:rPr>
        <w:t>erefore,</w:t>
      </w:r>
      <w:r w:rsidRPr="00182596">
        <w:rPr>
          <w:szCs w:val="22"/>
        </w:rPr>
        <w:t xml:space="preserve"> </w:t>
      </w:r>
      <w:r>
        <w:rPr>
          <w:szCs w:val="22"/>
        </w:rPr>
        <w:t xml:space="preserve">we </w:t>
      </w:r>
      <w:r w:rsidR="00AE2112">
        <w:rPr>
          <w:szCs w:val="22"/>
        </w:rPr>
        <w:t>support the following</w:t>
      </w:r>
    </w:p>
    <w:p w14:paraId="6BDBEDFE" w14:textId="5F954D36" w:rsidR="006C0251" w:rsidRDefault="00736682" w:rsidP="006C0251">
      <w:pPr>
        <w:pStyle w:val="Caption"/>
        <w:spacing w:after="240"/>
      </w:pPr>
      <w:r>
        <w:t>Proposal 3</w:t>
      </w:r>
      <w:r w:rsidR="006C0251">
        <w:t xml:space="preserve">: </w:t>
      </w:r>
      <w:r w:rsidR="006C0251" w:rsidRPr="006C0251">
        <w:t xml:space="preserve">For a CSI report, when reportQuantity is configured to be “ssb-Index-SINR” or “csi-SINR”, </w:t>
      </w:r>
      <w:r w:rsidR="006C0251">
        <w:t>we support Alt</w:t>
      </w:r>
      <w:r w:rsidR="0052764F">
        <w:t xml:space="preserve"> </w:t>
      </w:r>
      <w:r w:rsidR="006C0251">
        <w:t>4 (N*Z3 and N*Z3’)</w:t>
      </w:r>
      <w:r w:rsidR="00182596">
        <w:t xml:space="preserve"> </w:t>
      </w:r>
      <w:r w:rsidR="006C0251">
        <w:t xml:space="preserve">for </w:t>
      </w:r>
      <w:r w:rsidR="006C0251" w:rsidRPr="006C0251">
        <w:t xml:space="preserve">the value </w:t>
      </w:r>
      <w:r w:rsidR="006C0251">
        <w:t xml:space="preserve">of Z and Z’. N </w:t>
      </w:r>
      <w:r w:rsidR="00182596">
        <w:t xml:space="preserve">(at least N=2) </w:t>
      </w:r>
      <w:r w:rsidR="006C0251">
        <w:t>can be reported by UE capability</w:t>
      </w:r>
    </w:p>
    <w:p w14:paraId="294FABAD" w14:textId="77777777" w:rsidR="006C0251" w:rsidRPr="00793934" w:rsidRDefault="006C0251" w:rsidP="006C0251">
      <w:pPr>
        <w:jc w:val="both"/>
        <w:rPr>
          <w:szCs w:val="22"/>
          <w:lang w:val="en-GB"/>
        </w:rPr>
      </w:pPr>
      <w:r w:rsidRPr="00793934">
        <w:rPr>
          <w:szCs w:val="22"/>
          <w:lang w:val="en-GB"/>
        </w:rPr>
        <w:t xml:space="preserve">For </w:t>
      </w:r>
      <w:r w:rsidRPr="00291349">
        <w:rPr>
          <w:rFonts w:ascii="Times" w:eastAsia="Batang" w:hAnsi="Times"/>
          <w:szCs w:val="22"/>
          <w:lang w:val="en-GB"/>
        </w:rPr>
        <w:t>additional UE capability for maximum number of total number of CMR/IMR for L1-SINR measurement across CCs within a slot</w:t>
      </w:r>
      <w:r w:rsidRPr="00793934">
        <w:rPr>
          <w:szCs w:val="22"/>
          <w:lang w:val="en-GB"/>
        </w:rPr>
        <w:t>, we propose</w:t>
      </w:r>
    </w:p>
    <w:p w14:paraId="7079C444" w14:textId="47055701" w:rsidR="006C0251" w:rsidRDefault="006C0251" w:rsidP="006C0251">
      <w:pPr>
        <w:pStyle w:val="Caption"/>
        <w:spacing w:after="240"/>
      </w:pPr>
      <w:r>
        <w:t xml:space="preserve">Proposal </w:t>
      </w:r>
      <w:r w:rsidR="00736682">
        <w:t>4</w:t>
      </w:r>
      <w:r>
        <w:t>: The m</w:t>
      </w:r>
      <w:r w:rsidRPr="00D92E7D">
        <w:t>aximum number of total number of CMR/IMR for L1-SINR measurement across CCs within a slot</w:t>
      </w:r>
      <w:r>
        <w:t xml:space="preserve"> is limited by K which is reported by UE capability.</w:t>
      </w:r>
    </w:p>
    <w:p w14:paraId="0A6B5C4B" w14:textId="4A93789A" w:rsidR="006C0251" w:rsidRDefault="00793934" w:rsidP="006C0251">
      <w:pPr>
        <w:jc w:val="both"/>
        <w:rPr>
          <w:szCs w:val="22"/>
          <w:lang w:val="en-GB"/>
        </w:rPr>
      </w:pPr>
      <w:r>
        <w:rPr>
          <w:szCs w:val="22"/>
          <w:lang w:val="en-GB"/>
        </w:rPr>
        <w:t>The following was agreed at the last meeting.</w:t>
      </w:r>
    </w:p>
    <w:p w14:paraId="6B537D32" w14:textId="77777777" w:rsidR="00846A03" w:rsidRPr="00291349" w:rsidRDefault="00846A03" w:rsidP="00846A03">
      <w:pPr>
        <w:spacing w:after="0"/>
        <w:rPr>
          <w:rFonts w:ascii="Times" w:eastAsia="Batang" w:hAnsi="Times"/>
          <w:bCs/>
          <w:szCs w:val="22"/>
          <w:lang w:val="en-GB" w:eastAsia="x-none"/>
        </w:rPr>
      </w:pPr>
      <w:r w:rsidRPr="00291349">
        <w:rPr>
          <w:rFonts w:ascii="Times" w:eastAsia="Batang" w:hAnsi="Times"/>
          <w:bCs/>
          <w:szCs w:val="22"/>
          <w:highlight w:val="green"/>
          <w:lang w:val="en-GB" w:eastAsia="x-none"/>
        </w:rPr>
        <w:t>Agreement</w:t>
      </w:r>
    </w:p>
    <w:p w14:paraId="7CF6C57F" w14:textId="77777777" w:rsidR="00846A03" w:rsidRPr="00291349" w:rsidRDefault="00846A03" w:rsidP="00846A03">
      <w:pPr>
        <w:spacing w:after="0"/>
        <w:rPr>
          <w:rFonts w:ascii="Times" w:eastAsia="Batang" w:hAnsi="Times"/>
          <w:szCs w:val="22"/>
          <w:lang w:val="en-GB" w:eastAsia="x-none"/>
        </w:rPr>
      </w:pPr>
      <w:r w:rsidRPr="00291349">
        <w:rPr>
          <w:rFonts w:ascii="Times" w:eastAsia="Batang" w:hAnsi="Times"/>
          <w:szCs w:val="22"/>
          <w:lang w:val="en-GB" w:eastAsia="x-none"/>
        </w:rPr>
        <w:t>For NZP-IMR based interference measurement, option 1a is supported</w:t>
      </w:r>
    </w:p>
    <w:p w14:paraId="22038D5A" w14:textId="77777777" w:rsidR="00846A03" w:rsidRPr="00291349" w:rsidRDefault="00846A03" w:rsidP="00846A03">
      <w:pPr>
        <w:numPr>
          <w:ilvl w:val="0"/>
          <w:numId w:val="79"/>
        </w:numPr>
        <w:spacing w:after="0"/>
        <w:rPr>
          <w:rFonts w:ascii="Times" w:eastAsia="Batang" w:hAnsi="Times"/>
          <w:color w:val="000000"/>
          <w:szCs w:val="22"/>
          <w:lang w:val="en-GB"/>
        </w:rPr>
      </w:pPr>
      <w:r w:rsidRPr="00291349">
        <w:rPr>
          <w:rFonts w:ascii="Times" w:eastAsia="Batang" w:hAnsi="Times"/>
          <w:color w:val="000000"/>
          <w:szCs w:val="22"/>
          <w:lang w:val="en-GB"/>
        </w:rPr>
        <w:t>In a </w:t>
      </w:r>
      <w:r w:rsidRPr="00291349">
        <w:rPr>
          <w:rFonts w:ascii="Times" w:eastAsia="Malgun Gothic" w:hAnsi="Times"/>
          <w:i/>
          <w:iCs/>
          <w:color w:val="000000"/>
          <w:szCs w:val="22"/>
          <w:lang w:val="en-GB"/>
        </w:rPr>
        <w:t>CSI-reportConfig</w:t>
      </w:r>
      <w:r w:rsidRPr="00291349">
        <w:rPr>
          <w:rFonts w:ascii="Times" w:eastAsia="Batang" w:hAnsi="Times"/>
          <w:color w:val="000000"/>
          <w:szCs w:val="22"/>
          <w:lang w:val="en-GB"/>
        </w:rPr>
        <w:t>, gNB configures a list of N CMR(s) and another list of N IMR(s), and they are 1:1 mapped</w:t>
      </w:r>
    </w:p>
    <w:p w14:paraId="7D52850A" w14:textId="77777777" w:rsidR="00846A03" w:rsidRPr="00291349" w:rsidRDefault="00846A03" w:rsidP="00846A03">
      <w:pPr>
        <w:numPr>
          <w:ilvl w:val="0"/>
          <w:numId w:val="79"/>
        </w:numPr>
        <w:spacing w:after="0"/>
        <w:rPr>
          <w:rFonts w:ascii="Times" w:eastAsia="Batang" w:hAnsi="Times"/>
          <w:color w:val="000000"/>
          <w:szCs w:val="22"/>
          <w:lang w:val="en-GB"/>
        </w:rPr>
      </w:pPr>
      <w:r w:rsidRPr="00291349">
        <w:rPr>
          <w:rFonts w:ascii="Times" w:eastAsia="Batang" w:hAnsi="Times"/>
          <w:color w:val="000000"/>
          <w:szCs w:val="22"/>
          <w:lang w:val="en-GB"/>
        </w:rPr>
        <w:t>For each SINR, interference is measured based on each associated NZP-IMR only</w:t>
      </w:r>
    </w:p>
    <w:p w14:paraId="61C6DE8C" w14:textId="77777777" w:rsidR="00846A03" w:rsidRPr="00291349" w:rsidRDefault="00846A03" w:rsidP="00846A03">
      <w:pPr>
        <w:numPr>
          <w:ilvl w:val="0"/>
          <w:numId w:val="79"/>
        </w:numPr>
        <w:spacing w:after="0"/>
        <w:rPr>
          <w:rFonts w:ascii="Times" w:eastAsia="Batang" w:hAnsi="Times"/>
          <w:color w:val="000000"/>
          <w:szCs w:val="22"/>
          <w:lang w:val="en-GB"/>
        </w:rPr>
      </w:pPr>
      <w:r w:rsidRPr="00291349">
        <w:rPr>
          <w:rFonts w:ascii="Times" w:eastAsia="Batang" w:hAnsi="Times"/>
          <w:color w:val="000000"/>
          <w:szCs w:val="22"/>
          <w:lang w:val="en-GB"/>
        </w:rPr>
        <w:t>UE may assume that the NZP CSI-RS resource for channel measurement and NZP CSI-RS resource(s) for interference measurement configured for one CSI reporting are QCLed with respect to 'QCL-TypeD’</w:t>
      </w:r>
    </w:p>
    <w:p w14:paraId="25547BE6" w14:textId="77777777" w:rsidR="00846A03" w:rsidRPr="00291349" w:rsidRDefault="00846A03" w:rsidP="00846A03">
      <w:pPr>
        <w:numPr>
          <w:ilvl w:val="1"/>
          <w:numId w:val="79"/>
        </w:numPr>
        <w:spacing w:after="0"/>
        <w:rPr>
          <w:rFonts w:ascii="Times" w:eastAsia="Batang" w:hAnsi="Times"/>
          <w:color w:val="000000"/>
          <w:szCs w:val="22"/>
          <w:lang w:val="en-GB"/>
        </w:rPr>
      </w:pPr>
      <w:r w:rsidRPr="00291349">
        <w:rPr>
          <w:rFonts w:ascii="Times" w:eastAsia="Batang" w:hAnsi="Times"/>
          <w:color w:val="000000"/>
          <w:szCs w:val="22"/>
          <w:lang w:val="en-GB"/>
        </w:rPr>
        <w:t>FFS: Whether QCL-TypeD can be configured to each NZP IMR</w:t>
      </w:r>
    </w:p>
    <w:p w14:paraId="3521F4A2" w14:textId="77777777" w:rsidR="00846A03" w:rsidRPr="00291349" w:rsidRDefault="00846A03" w:rsidP="00846A03">
      <w:pPr>
        <w:numPr>
          <w:ilvl w:val="0"/>
          <w:numId w:val="79"/>
        </w:numPr>
        <w:spacing w:after="0"/>
        <w:rPr>
          <w:rFonts w:ascii="Times" w:eastAsia="Batang" w:hAnsi="Times"/>
          <w:color w:val="000000"/>
          <w:szCs w:val="22"/>
          <w:lang w:val="en-GB"/>
        </w:rPr>
      </w:pPr>
      <w:r w:rsidRPr="00291349">
        <w:rPr>
          <w:rFonts w:ascii="Times" w:eastAsia="Batang" w:hAnsi="Times"/>
          <w:color w:val="000000"/>
          <w:szCs w:val="22"/>
          <w:lang w:val="en-GB"/>
        </w:rPr>
        <w:t>FFS: Each NZP CSI-RS port configured for interference measurement corresponds to an interference transmission layer</w:t>
      </w:r>
    </w:p>
    <w:p w14:paraId="72B2A8AA" w14:textId="77777777" w:rsidR="00846A03" w:rsidRPr="00291349" w:rsidRDefault="00846A03" w:rsidP="00846A03">
      <w:pPr>
        <w:numPr>
          <w:ilvl w:val="0"/>
          <w:numId w:val="79"/>
        </w:numPr>
        <w:spacing w:after="0"/>
        <w:rPr>
          <w:rFonts w:ascii="Times" w:eastAsia="Batang" w:hAnsi="Times"/>
          <w:color w:val="000000"/>
          <w:szCs w:val="22"/>
          <w:lang w:val="en-GB"/>
        </w:rPr>
      </w:pPr>
      <w:r w:rsidRPr="00291349">
        <w:rPr>
          <w:rFonts w:ascii="Times" w:eastAsia="Batang" w:hAnsi="Times"/>
          <w:color w:val="000000"/>
          <w:szCs w:val="22"/>
          <w:lang w:val="en-GB"/>
        </w:rPr>
        <w:lastRenderedPageBreak/>
        <w:t>FFS: Additional support of option 2a (without RRC signalling impact)</w:t>
      </w:r>
    </w:p>
    <w:p w14:paraId="4AFD7C57" w14:textId="77777777" w:rsidR="00846A03" w:rsidRPr="00291349" w:rsidRDefault="00846A03" w:rsidP="00846A03">
      <w:pPr>
        <w:spacing w:after="0"/>
        <w:rPr>
          <w:rFonts w:ascii="Times" w:eastAsia="Batang" w:hAnsi="Times"/>
          <w:szCs w:val="22"/>
          <w:lang w:val="en-GB" w:eastAsia="x-none"/>
        </w:rPr>
      </w:pPr>
      <w:r w:rsidRPr="00291349">
        <w:rPr>
          <w:rFonts w:ascii="Times" w:eastAsia="Batang" w:hAnsi="Times"/>
          <w:szCs w:val="22"/>
          <w:lang w:val="en-GB" w:eastAsia="x-none"/>
        </w:rPr>
        <w:t>Note: There is no consensus in RAN1 on the support of option 2b/2c (which introduces IMR index reporting for L1-SINR)</w:t>
      </w:r>
    </w:p>
    <w:p w14:paraId="53C058D3" w14:textId="77777777" w:rsidR="006C0251" w:rsidRDefault="006C0251" w:rsidP="006C0251">
      <w:pPr>
        <w:jc w:val="both"/>
        <w:rPr>
          <w:szCs w:val="22"/>
          <w:lang w:val="en-GB"/>
        </w:rPr>
      </w:pPr>
    </w:p>
    <w:p w14:paraId="010B6CD1" w14:textId="72158F09" w:rsidR="006C0251" w:rsidRDefault="003B70DF" w:rsidP="006C0251">
      <w:pPr>
        <w:jc w:val="both"/>
        <w:rPr>
          <w:szCs w:val="22"/>
          <w:lang w:val="en-GB"/>
        </w:rPr>
      </w:pPr>
      <w:r>
        <w:rPr>
          <w:szCs w:val="22"/>
          <w:lang w:val="en-GB"/>
        </w:rPr>
        <w:t xml:space="preserve">Regarding QCL-TypeD for </w:t>
      </w:r>
      <w:r w:rsidR="006C0251">
        <w:rPr>
          <w:szCs w:val="22"/>
          <w:lang w:val="en-GB"/>
        </w:rPr>
        <w:t xml:space="preserve">the interference measurement in NZP-IMR, </w:t>
      </w:r>
      <w:r>
        <w:rPr>
          <w:szCs w:val="22"/>
          <w:lang w:val="en-GB"/>
        </w:rPr>
        <w:t>it is reasonable to configure the same QCL-TypeD for CMR and IMR. We don’t see any benefit to separately configure QCL-TypeD for each NZP IMR. Therefore, we have</w:t>
      </w:r>
    </w:p>
    <w:p w14:paraId="576E6519" w14:textId="78797FBC" w:rsidR="003B70DF" w:rsidRDefault="00736682" w:rsidP="006C0251">
      <w:pPr>
        <w:pStyle w:val="Caption"/>
        <w:spacing w:after="240"/>
      </w:pPr>
      <w:r>
        <w:t>Proposal 5</w:t>
      </w:r>
      <w:r w:rsidR="006C0251">
        <w:t>:</w:t>
      </w:r>
      <w:r w:rsidR="003B70DF">
        <w:t xml:space="preserve"> Do not support QCL-TypeD can be configured to each NZP IMR</w:t>
      </w:r>
    </w:p>
    <w:p w14:paraId="4422B324" w14:textId="12783293" w:rsidR="004F6DA8" w:rsidRPr="004C696D" w:rsidRDefault="004F6DA8" w:rsidP="002135E1">
      <w:pPr>
        <w:pStyle w:val="Caption"/>
        <w:rPr>
          <w:iCs/>
          <w:lang w:eastAsia="zh-TW"/>
        </w:rPr>
      </w:pPr>
    </w:p>
    <w:p w14:paraId="023F42C6" w14:textId="77777777" w:rsidR="00405C6C" w:rsidRPr="007F3E0D" w:rsidRDefault="00EB0778" w:rsidP="00405C6C">
      <w:pPr>
        <w:pStyle w:val="Heading1"/>
        <w:numPr>
          <w:ilvl w:val="0"/>
          <w:numId w:val="1"/>
        </w:numPr>
        <w:rPr>
          <w:rFonts w:eastAsia="MS Mincho" w:cs="Arial"/>
          <w:b/>
          <w:sz w:val="32"/>
          <w:szCs w:val="32"/>
          <w:lang w:val="en-US"/>
        </w:rPr>
      </w:pPr>
      <w:r w:rsidRPr="007F3E0D">
        <w:rPr>
          <w:rFonts w:eastAsia="MS Mincho" w:cs="Arial"/>
          <w:b/>
          <w:sz w:val="32"/>
          <w:szCs w:val="32"/>
          <w:lang w:val="en-US"/>
        </w:rPr>
        <w:t>Beam failure recovery on SCell</w:t>
      </w:r>
    </w:p>
    <w:p w14:paraId="6C3DDEB6" w14:textId="4B900B3D" w:rsidR="004635A2" w:rsidRDefault="00E77D28">
      <w:pPr>
        <w:pStyle w:val="Heading2"/>
        <w:numPr>
          <w:ilvl w:val="1"/>
          <w:numId w:val="1"/>
        </w:numPr>
      </w:pPr>
      <w:bookmarkStart w:id="4" w:name="_Ref4683011"/>
      <w:r>
        <w:t>FR1</w:t>
      </w:r>
      <w:r w:rsidR="00864672">
        <w:t>/FR2</w:t>
      </w:r>
      <w:r>
        <w:t xml:space="preserve"> PCell + FR2 </w:t>
      </w:r>
      <w:r w:rsidR="004635A2">
        <w:t>DL-only SCell</w:t>
      </w:r>
      <w:bookmarkEnd w:id="4"/>
      <w:r w:rsidR="004635A2">
        <w:t xml:space="preserve"> </w:t>
      </w:r>
    </w:p>
    <w:p w14:paraId="6F07CE34" w14:textId="30578F9B" w:rsidR="00051E97" w:rsidRPr="00291349" w:rsidRDefault="00051E97" w:rsidP="00BA1226">
      <w:pPr>
        <w:rPr>
          <w:szCs w:val="22"/>
          <w:lang w:val="en-GB"/>
        </w:rPr>
      </w:pPr>
      <w:r w:rsidRPr="00291349">
        <w:rPr>
          <w:szCs w:val="22"/>
          <w:lang w:val="en-GB"/>
        </w:rPr>
        <w:t xml:space="preserve">The following </w:t>
      </w:r>
      <w:r w:rsidR="00CA2F98" w:rsidRPr="00291349">
        <w:rPr>
          <w:szCs w:val="22"/>
          <w:lang w:val="en-GB"/>
        </w:rPr>
        <w:t xml:space="preserve">working assumptions and </w:t>
      </w:r>
      <w:r w:rsidRPr="00291349">
        <w:rPr>
          <w:szCs w:val="22"/>
          <w:lang w:val="en-GB"/>
        </w:rPr>
        <w:t>agreements were made in RAN1#98</w:t>
      </w:r>
      <w:r w:rsidR="00CA2F98" w:rsidRPr="00291349">
        <w:rPr>
          <w:szCs w:val="22"/>
          <w:lang w:val="en-GB"/>
        </w:rPr>
        <w:t>b</w:t>
      </w:r>
      <w:r w:rsidRPr="00291349">
        <w:rPr>
          <w:szCs w:val="22"/>
          <w:lang w:val="en-GB"/>
        </w:rPr>
        <w:t>:</w:t>
      </w:r>
    </w:p>
    <w:p w14:paraId="392F69CA" w14:textId="77777777" w:rsidR="00CA2F98" w:rsidRPr="00291349" w:rsidRDefault="00CA2F98" w:rsidP="00CA2F98">
      <w:pPr>
        <w:spacing w:after="0"/>
        <w:rPr>
          <w:rFonts w:ascii="Times" w:eastAsia="Batang" w:hAnsi="Times"/>
          <w:bCs/>
          <w:szCs w:val="22"/>
          <w:lang w:val="en-GB" w:eastAsia="x-none"/>
        </w:rPr>
      </w:pPr>
      <w:r w:rsidRPr="00291349">
        <w:rPr>
          <w:rFonts w:ascii="Times" w:eastAsia="Batang" w:hAnsi="Times"/>
          <w:bCs/>
          <w:szCs w:val="22"/>
          <w:highlight w:val="darkYellow"/>
          <w:lang w:val="en-GB" w:eastAsia="x-none"/>
        </w:rPr>
        <w:t>Working Assumption</w:t>
      </w:r>
    </w:p>
    <w:p w14:paraId="6AFA45B8" w14:textId="77777777" w:rsidR="00CA2F98" w:rsidRPr="00291349" w:rsidRDefault="00CA2F98" w:rsidP="00CA2F98">
      <w:pPr>
        <w:spacing w:after="0"/>
        <w:jc w:val="both"/>
        <w:rPr>
          <w:rFonts w:eastAsia="Malgun Gothic" w:cs="Batang"/>
          <w:szCs w:val="22"/>
        </w:rPr>
      </w:pPr>
      <w:r w:rsidRPr="00291349">
        <w:rPr>
          <w:rFonts w:eastAsia="Malgun Gothic" w:cs="Batang"/>
          <w:szCs w:val="22"/>
        </w:rPr>
        <w:t>In addition to previous agreement that PUCCH-BFR is configured in PCell/PSCell, it is also agreed that PUCCH-BFR can be configured in PUCCH-SCell if PUCCH group is configured</w:t>
      </w:r>
    </w:p>
    <w:p w14:paraId="1E518DCB" w14:textId="77777777" w:rsidR="00CA2F98" w:rsidRPr="00291349" w:rsidRDefault="00CA2F98" w:rsidP="00CA2F98">
      <w:pPr>
        <w:numPr>
          <w:ilvl w:val="0"/>
          <w:numId w:val="77"/>
        </w:numPr>
        <w:spacing w:after="0"/>
        <w:jc w:val="both"/>
        <w:rPr>
          <w:rFonts w:eastAsia="Malgun Gothic" w:cs="Batang"/>
          <w:szCs w:val="22"/>
        </w:rPr>
      </w:pPr>
      <w:r w:rsidRPr="00291349">
        <w:rPr>
          <w:rFonts w:eastAsia="Malgun Gothic" w:cs="Batang"/>
          <w:szCs w:val="22"/>
          <w:lang w:eastAsia="zh-CN"/>
        </w:rPr>
        <w:t>For non-DC case, down-select one of the following alternatives in RAN1#99</w:t>
      </w:r>
    </w:p>
    <w:p w14:paraId="39B97897" w14:textId="77777777" w:rsidR="00CA2F98" w:rsidRPr="00291349" w:rsidRDefault="00CA2F98" w:rsidP="00CA2F98">
      <w:pPr>
        <w:numPr>
          <w:ilvl w:val="1"/>
          <w:numId w:val="77"/>
        </w:numPr>
        <w:spacing w:after="0"/>
        <w:jc w:val="both"/>
        <w:rPr>
          <w:rFonts w:eastAsia="Malgun Gothic" w:cs="Batang"/>
          <w:szCs w:val="22"/>
        </w:rPr>
      </w:pPr>
      <w:r w:rsidRPr="00291349">
        <w:rPr>
          <w:rFonts w:eastAsia="Malgun Gothic" w:cs="Batang"/>
          <w:szCs w:val="22"/>
        </w:rPr>
        <w:t>Alt1a: For a UE, up to 1 PUCCH-BFR resource for a BWP can be configured per PUCCH group</w:t>
      </w:r>
    </w:p>
    <w:p w14:paraId="1B541C83" w14:textId="77777777" w:rsidR="00CA2F98" w:rsidRPr="00291349" w:rsidRDefault="00CA2F98" w:rsidP="00CA2F98">
      <w:pPr>
        <w:numPr>
          <w:ilvl w:val="2"/>
          <w:numId w:val="77"/>
        </w:numPr>
        <w:spacing w:after="0"/>
        <w:jc w:val="both"/>
        <w:rPr>
          <w:rFonts w:eastAsia="Malgun Gothic" w:cs="Batang"/>
          <w:szCs w:val="22"/>
        </w:rPr>
      </w:pPr>
      <w:r w:rsidRPr="00291349">
        <w:rPr>
          <w:rFonts w:eastAsia="Malgun Gothic" w:cs="Batang"/>
          <w:szCs w:val="22"/>
        </w:rPr>
        <w:t>If more than 1 PUCCH-BFR resources are configured for a UE, UE can pick one of them to transmit BFRQ</w:t>
      </w:r>
    </w:p>
    <w:p w14:paraId="04D69766" w14:textId="77777777" w:rsidR="00CA2F98" w:rsidRPr="00291349" w:rsidRDefault="00CA2F98" w:rsidP="00CA2F98">
      <w:pPr>
        <w:numPr>
          <w:ilvl w:val="1"/>
          <w:numId w:val="77"/>
        </w:numPr>
        <w:spacing w:after="0"/>
        <w:jc w:val="both"/>
        <w:rPr>
          <w:rFonts w:eastAsia="Malgun Gothic" w:cs="Batang"/>
          <w:szCs w:val="22"/>
        </w:rPr>
      </w:pPr>
      <w:r w:rsidRPr="00291349">
        <w:rPr>
          <w:rFonts w:eastAsia="Malgun Gothic" w:cs="Batang"/>
          <w:szCs w:val="22"/>
        </w:rPr>
        <w:t>Alt1b: For a UE, up to 1 PUCCH-BFR resource for a BWP can be configured per PUCCH group</w:t>
      </w:r>
    </w:p>
    <w:p w14:paraId="377AD44F" w14:textId="77777777" w:rsidR="00CA2F98" w:rsidRPr="00291349" w:rsidRDefault="00CA2F98" w:rsidP="00CA2F98">
      <w:pPr>
        <w:numPr>
          <w:ilvl w:val="2"/>
          <w:numId w:val="77"/>
        </w:numPr>
        <w:spacing w:after="0"/>
        <w:jc w:val="both"/>
        <w:rPr>
          <w:rFonts w:eastAsia="Malgun Gothic" w:cs="Batang"/>
          <w:szCs w:val="22"/>
        </w:rPr>
      </w:pPr>
      <w:r w:rsidRPr="00291349">
        <w:rPr>
          <w:rFonts w:eastAsia="Malgun Gothic" w:cs="Batang"/>
          <w:szCs w:val="22"/>
        </w:rPr>
        <w:t>PUCCH-BFR resource is shared among the CCs belonging to the respective PUCCH group</w:t>
      </w:r>
    </w:p>
    <w:p w14:paraId="7E2FB3A3" w14:textId="77777777" w:rsidR="00CA2F98" w:rsidRPr="00291349" w:rsidRDefault="00CA2F98" w:rsidP="00CA2F98">
      <w:pPr>
        <w:numPr>
          <w:ilvl w:val="1"/>
          <w:numId w:val="77"/>
        </w:numPr>
        <w:spacing w:after="0"/>
        <w:jc w:val="both"/>
        <w:rPr>
          <w:rFonts w:eastAsia="Malgun Gothic" w:cs="Batang"/>
          <w:szCs w:val="22"/>
        </w:rPr>
      </w:pPr>
      <w:r w:rsidRPr="00291349">
        <w:rPr>
          <w:rFonts w:eastAsia="Malgun Gothic" w:cs="Batang"/>
          <w:szCs w:val="22"/>
        </w:rPr>
        <w:t>Alt2: For a UE, up to 1 PUCCH-BFR resource for a BWP can be configured per UE</w:t>
      </w:r>
    </w:p>
    <w:p w14:paraId="070B655C" w14:textId="77777777" w:rsidR="00CA2F98" w:rsidRPr="00291349" w:rsidRDefault="00CA2F98" w:rsidP="00CA2F98">
      <w:pPr>
        <w:numPr>
          <w:ilvl w:val="1"/>
          <w:numId w:val="77"/>
        </w:numPr>
        <w:spacing w:after="0"/>
        <w:jc w:val="both"/>
        <w:rPr>
          <w:rFonts w:eastAsia="Malgun Gothic" w:cs="Batang"/>
          <w:szCs w:val="22"/>
        </w:rPr>
      </w:pPr>
      <w:r w:rsidRPr="00291349">
        <w:rPr>
          <w:rFonts w:eastAsia="Malgun Gothic" w:cs="Batang"/>
          <w:szCs w:val="22"/>
        </w:rPr>
        <w:t>The down-selection is based on the assumption of SR configuration behavior supported in current spec</w:t>
      </w:r>
    </w:p>
    <w:p w14:paraId="5B3C38B0" w14:textId="77777777" w:rsidR="00CA2F98" w:rsidRPr="00291349" w:rsidRDefault="00CA2F98" w:rsidP="00CA2F98">
      <w:pPr>
        <w:spacing w:after="0"/>
        <w:jc w:val="both"/>
        <w:rPr>
          <w:rFonts w:eastAsia="Malgun Gothic" w:cs="Batang"/>
          <w:szCs w:val="22"/>
        </w:rPr>
      </w:pPr>
      <w:r w:rsidRPr="00291349">
        <w:rPr>
          <w:rFonts w:eastAsia="Malgun Gothic" w:cs="Batang"/>
          <w:szCs w:val="22"/>
        </w:rPr>
        <w:t>The above PUCCH group refers to the existing PUCCH group description in TS38.213.</w:t>
      </w:r>
    </w:p>
    <w:p w14:paraId="69DB3033" w14:textId="77777777" w:rsidR="00CA2F98" w:rsidRPr="00291349" w:rsidRDefault="00CA2F98" w:rsidP="004934D5">
      <w:pPr>
        <w:jc w:val="both"/>
        <w:rPr>
          <w:rFonts w:ascii="Times" w:eastAsia="Batang" w:hAnsi="Times"/>
          <w:bCs/>
          <w:szCs w:val="22"/>
          <w:highlight w:val="green"/>
          <w:lang w:eastAsia="x-none"/>
        </w:rPr>
      </w:pPr>
    </w:p>
    <w:p w14:paraId="3CC65271" w14:textId="77777777" w:rsidR="00CA2F98" w:rsidRPr="00291349" w:rsidRDefault="00CA2F98" w:rsidP="00CA2F98">
      <w:pPr>
        <w:spacing w:after="0"/>
        <w:jc w:val="both"/>
        <w:rPr>
          <w:rFonts w:eastAsia="Malgun Gothic" w:cs="Batang"/>
          <w:bCs/>
          <w:szCs w:val="22"/>
          <w:lang w:eastAsia="zh-CN"/>
        </w:rPr>
      </w:pPr>
      <w:r w:rsidRPr="00291349">
        <w:rPr>
          <w:rFonts w:eastAsia="Malgun Gothic" w:cs="Batang"/>
          <w:bCs/>
          <w:szCs w:val="22"/>
          <w:highlight w:val="green"/>
          <w:lang w:eastAsia="zh-CN"/>
        </w:rPr>
        <w:t>Agreement</w:t>
      </w:r>
    </w:p>
    <w:p w14:paraId="1F55810F" w14:textId="77777777" w:rsidR="00CA2F98" w:rsidRPr="00291349" w:rsidRDefault="00CA2F98" w:rsidP="00CA2F98">
      <w:pPr>
        <w:spacing w:after="0"/>
        <w:jc w:val="both"/>
        <w:rPr>
          <w:rFonts w:eastAsia="Malgun Gothic" w:cs="Batang"/>
          <w:szCs w:val="22"/>
        </w:rPr>
      </w:pPr>
      <w:r w:rsidRPr="00291349">
        <w:rPr>
          <w:rFonts w:eastAsia="Malgun Gothic" w:cs="Batang"/>
          <w:szCs w:val="22"/>
          <w:lang w:eastAsia="zh-CN"/>
        </w:rPr>
        <w:t>At least for PDCCH, after K symbols after receiving response to step 2 MAC-CE, UE applies the new beam indicated in step 2 MAC-CE at least for the DL reception on the failed SCell if a new beam is identified.</w:t>
      </w:r>
    </w:p>
    <w:p w14:paraId="2E44E548" w14:textId="77777777" w:rsidR="00CA2F98" w:rsidRPr="00291349" w:rsidRDefault="00CA2F98" w:rsidP="00CA2F98">
      <w:pPr>
        <w:numPr>
          <w:ilvl w:val="0"/>
          <w:numId w:val="77"/>
        </w:numPr>
        <w:overflowPunct w:val="0"/>
        <w:autoSpaceDE w:val="0"/>
        <w:autoSpaceDN w:val="0"/>
        <w:adjustRightInd w:val="0"/>
        <w:spacing w:after="0"/>
        <w:contextualSpacing/>
        <w:textAlignment w:val="baseline"/>
        <w:rPr>
          <w:rFonts w:eastAsia="SimSun"/>
          <w:szCs w:val="22"/>
          <w:lang w:eastAsia="ja-JP"/>
        </w:rPr>
      </w:pPr>
      <w:r w:rsidRPr="00291349">
        <w:rPr>
          <w:rFonts w:eastAsia="SimSun"/>
          <w:szCs w:val="22"/>
          <w:lang w:eastAsia="zh-CN"/>
        </w:rPr>
        <w:t>Applies for all CORESETs in the failed SCell</w:t>
      </w:r>
    </w:p>
    <w:p w14:paraId="241CC3EA" w14:textId="77777777" w:rsidR="00CA2F98" w:rsidRPr="00291349" w:rsidRDefault="00CA2F98" w:rsidP="00CA2F98">
      <w:pPr>
        <w:numPr>
          <w:ilvl w:val="0"/>
          <w:numId w:val="77"/>
        </w:numPr>
        <w:overflowPunct w:val="0"/>
        <w:autoSpaceDE w:val="0"/>
        <w:autoSpaceDN w:val="0"/>
        <w:adjustRightInd w:val="0"/>
        <w:spacing w:after="0"/>
        <w:contextualSpacing/>
        <w:textAlignment w:val="baseline"/>
        <w:rPr>
          <w:rFonts w:eastAsia="SimSun"/>
          <w:szCs w:val="22"/>
          <w:lang w:eastAsia="ja-JP"/>
        </w:rPr>
      </w:pPr>
      <w:r w:rsidRPr="00291349">
        <w:rPr>
          <w:rFonts w:eastAsia="SimSun"/>
          <w:szCs w:val="22"/>
          <w:lang w:eastAsia="zh-CN"/>
        </w:rPr>
        <w:t>FFS: Any other channel</w:t>
      </w:r>
    </w:p>
    <w:p w14:paraId="7E94A9CB" w14:textId="77777777" w:rsidR="00CA2F98" w:rsidRPr="00291349" w:rsidRDefault="00CA2F98" w:rsidP="00CA2F98">
      <w:pPr>
        <w:numPr>
          <w:ilvl w:val="0"/>
          <w:numId w:val="77"/>
        </w:numPr>
        <w:overflowPunct w:val="0"/>
        <w:autoSpaceDE w:val="0"/>
        <w:autoSpaceDN w:val="0"/>
        <w:adjustRightInd w:val="0"/>
        <w:spacing w:after="0"/>
        <w:contextualSpacing/>
        <w:textAlignment w:val="baseline"/>
        <w:rPr>
          <w:rFonts w:eastAsia="SimSun"/>
          <w:szCs w:val="22"/>
          <w:lang w:eastAsia="ja-JP"/>
        </w:rPr>
      </w:pPr>
      <w:r w:rsidRPr="00291349">
        <w:rPr>
          <w:rFonts w:eastAsia="SimSun"/>
          <w:szCs w:val="22"/>
          <w:lang w:eastAsia="zh-CN"/>
        </w:rPr>
        <w:t>FFS: value of K</w:t>
      </w:r>
    </w:p>
    <w:p w14:paraId="18D4F4F6" w14:textId="77777777" w:rsidR="00CA2F98" w:rsidRPr="00291349" w:rsidRDefault="00CA2F98" w:rsidP="004934D5">
      <w:pPr>
        <w:jc w:val="both"/>
        <w:rPr>
          <w:rFonts w:ascii="Times" w:eastAsia="Batang" w:hAnsi="Times"/>
          <w:bCs/>
          <w:szCs w:val="22"/>
          <w:highlight w:val="green"/>
          <w:lang w:eastAsia="x-none"/>
        </w:rPr>
      </w:pPr>
    </w:p>
    <w:p w14:paraId="60FF3222" w14:textId="77777777" w:rsidR="00CA2F98" w:rsidRPr="00291349" w:rsidRDefault="00CA2F98" w:rsidP="00CA2F98">
      <w:pPr>
        <w:rPr>
          <w:bCs/>
          <w:szCs w:val="22"/>
          <w:lang w:eastAsia="x-none"/>
        </w:rPr>
      </w:pPr>
      <w:r w:rsidRPr="00291349">
        <w:rPr>
          <w:bCs/>
          <w:szCs w:val="22"/>
          <w:highlight w:val="green"/>
          <w:lang w:eastAsia="x-none"/>
        </w:rPr>
        <w:t>Agreement</w:t>
      </w:r>
    </w:p>
    <w:p w14:paraId="39332C60" w14:textId="77777777" w:rsidR="00CA2F98" w:rsidRPr="00291349" w:rsidRDefault="00CA2F98" w:rsidP="00CA2F98">
      <w:pPr>
        <w:pStyle w:val="0Maintext"/>
        <w:spacing w:after="0" w:afterAutospacing="0" w:line="240" w:lineRule="auto"/>
        <w:ind w:firstLine="0"/>
        <w:rPr>
          <w:rFonts w:cs="Times New Roman"/>
          <w:bCs/>
          <w:sz w:val="22"/>
          <w:szCs w:val="22"/>
        </w:rPr>
      </w:pPr>
      <w:r w:rsidRPr="00291349">
        <w:rPr>
          <w:rFonts w:cs="Times New Roman"/>
          <w:bCs/>
          <w:sz w:val="22"/>
          <w:szCs w:val="22"/>
        </w:rPr>
        <w:t xml:space="preserve">For maximum number of </w:t>
      </w:r>
      <w:r w:rsidRPr="00291349">
        <w:rPr>
          <w:rFonts w:cs="Times New Roman"/>
          <w:bCs/>
          <w:sz w:val="22"/>
          <w:szCs w:val="22"/>
          <w:lang w:eastAsia="zh-CN"/>
        </w:rPr>
        <w:t>S</w:t>
      </w:r>
      <w:r w:rsidRPr="00291349">
        <w:rPr>
          <w:rFonts w:cs="Times New Roman"/>
          <w:bCs/>
          <w:sz w:val="22"/>
          <w:szCs w:val="22"/>
        </w:rPr>
        <w:t>Cell BFD RS, support up to 2 BFD RS for per BWP without introducing additional UE capability</w:t>
      </w:r>
    </w:p>
    <w:p w14:paraId="7B3A3989" w14:textId="77777777" w:rsidR="00CA2F98" w:rsidRPr="00291349" w:rsidRDefault="00CA2F98" w:rsidP="00CA2F98">
      <w:pPr>
        <w:pStyle w:val="ListParagraph"/>
        <w:numPr>
          <w:ilvl w:val="0"/>
          <w:numId w:val="78"/>
        </w:numPr>
        <w:overflowPunct w:val="0"/>
        <w:autoSpaceDE w:val="0"/>
        <w:autoSpaceDN w:val="0"/>
        <w:adjustRightInd w:val="0"/>
        <w:contextualSpacing/>
        <w:textAlignment w:val="baseline"/>
        <w:rPr>
          <w:szCs w:val="22"/>
        </w:rPr>
      </w:pPr>
      <w:r w:rsidRPr="00291349">
        <w:rPr>
          <w:szCs w:val="22"/>
        </w:rPr>
        <w:t>FFS: whether to specify UE behaviour if number of configured CORESETs is more than 2</w:t>
      </w:r>
    </w:p>
    <w:p w14:paraId="721471F9" w14:textId="77777777" w:rsidR="00CA2F98" w:rsidRPr="00291349" w:rsidRDefault="00CA2F98" w:rsidP="00CA2F98">
      <w:pPr>
        <w:rPr>
          <w:bCs/>
          <w:szCs w:val="22"/>
          <w:lang w:eastAsia="x-none"/>
        </w:rPr>
      </w:pPr>
      <w:r w:rsidRPr="00291349">
        <w:rPr>
          <w:bCs/>
          <w:szCs w:val="22"/>
          <w:highlight w:val="green"/>
          <w:lang w:eastAsia="x-none"/>
        </w:rPr>
        <w:t>Agreement</w:t>
      </w:r>
    </w:p>
    <w:p w14:paraId="15655C2A" w14:textId="6AFE236B" w:rsidR="00CA2F98" w:rsidRPr="00291349" w:rsidRDefault="00CA2F98" w:rsidP="00CA2F98">
      <w:pPr>
        <w:rPr>
          <w:szCs w:val="22"/>
          <w:lang w:eastAsia="x-none"/>
        </w:rPr>
      </w:pPr>
      <w:r w:rsidRPr="00291349">
        <w:rPr>
          <w:szCs w:val="22"/>
          <w:lang w:eastAsia="x-none"/>
        </w:rPr>
        <w:t xml:space="preserve">For eMBB, when PUCCH-BFR collides with other PUCCH that does not carry SR, reuse the dropping/multiplexing rule specified in Rel-15 for collision handling between SR and other PUCCH except </w:t>
      </w:r>
      <w:r w:rsidRPr="00291349">
        <w:rPr>
          <w:szCs w:val="22"/>
          <w:lang w:eastAsia="x-none"/>
        </w:rPr>
        <w:lastRenderedPageBreak/>
        <w:t>the case when PUCCH-BFR based on PUCCH format 0 collides with HARQ-ACK based on PUCCH format 1</w:t>
      </w:r>
    </w:p>
    <w:p w14:paraId="1C75B8B0" w14:textId="18F7C4CF" w:rsidR="00CA2F98" w:rsidRPr="00291349" w:rsidRDefault="00CA2F98" w:rsidP="00291349">
      <w:pPr>
        <w:pStyle w:val="ListParagraph"/>
        <w:numPr>
          <w:ilvl w:val="0"/>
          <w:numId w:val="78"/>
        </w:numPr>
        <w:overflowPunct w:val="0"/>
        <w:autoSpaceDE w:val="0"/>
        <w:autoSpaceDN w:val="0"/>
        <w:adjustRightInd w:val="0"/>
        <w:contextualSpacing/>
        <w:textAlignment w:val="baseline"/>
        <w:rPr>
          <w:szCs w:val="22"/>
        </w:rPr>
      </w:pPr>
      <w:r w:rsidRPr="00291349">
        <w:rPr>
          <w:szCs w:val="22"/>
        </w:rPr>
        <w:t>FFS: When PUCCH-BFR based on PUCCH format 0 collides with HARQ-ACK based on PUCCH format 1</w:t>
      </w:r>
    </w:p>
    <w:p w14:paraId="45B3836E" w14:textId="77777777" w:rsidR="00682B71" w:rsidRDefault="00682B71" w:rsidP="004934D5">
      <w:pPr>
        <w:jc w:val="both"/>
        <w:rPr>
          <w:rFonts w:ascii="Times" w:eastAsia="Batang" w:hAnsi="Times"/>
          <w:bCs/>
          <w:sz w:val="20"/>
          <w:szCs w:val="24"/>
          <w:highlight w:val="green"/>
          <w:lang w:eastAsia="x-none"/>
        </w:rPr>
      </w:pPr>
    </w:p>
    <w:p w14:paraId="5ADF4AE7" w14:textId="32B7672D" w:rsidR="00682B71" w:rsidRDefault="00CA2F98" w:rsidP="004934D5">
      <w:pPr>
        <w:jc w:val="both"/>
      </w:pPr>
      <w:r>
        <w:t xml:space="preserve">Regarding </w:t>
      </w:r>
      <w:r w:rsidR="00611792">
        <w:t xml:space="preserve">working assumption for </w:t>
      </w:r>
      <w:r w:rsidR="00682B71">
        <w:t xml:space="preserve">PUCCH-BFR on PUCCH-SCell, PUCCH-BFR isn’t necessarily restricted by PUCCH grouping. BFRQ MAC CE can include information of all failed SCells (no matter which PUCCH group the SCell belongs to). If the gNB configure PUCCH-BFR per PUCCH group, the overhead for PUCCH-BFR would be increased. For Alt2, the gNB can configure PUCCH-BFR either on PCell or PUCCH-SCell according to the load of PUCCH. Thus, we have </w:t>
      </w:r>
    </w:p>
    <w:p w14:paraId="24DCD45C" w14:textId="0387D751" w:rsidR="00611792" w:rsidRDefault="00611792" w:rsidP="00611792">
      <w:pPr>
        <w:pStyle w:val="Caption"/>
        <w:spacing w:after="240"/>
      </w:pPr>
      <w:r>
        <w:t xml:space="preserve">Proposal 6: For PUCCH-BFR on PUCCH-SCell, </w:t>
      </w:r>
      <w:r w:rsidRPr="00611792">
        <w:t>up to 1 PUCCH-BFR resource for a BWP can be configured per UE</w:t>
      </w:r>
      <w:r>
        <w:t xml:space="preserve"> (Alt2)</w:t>
      </w:r>
      <w:r w:rsidRPr="00611792">
        <w:t xml:space="preserve"> </w:t>
      </w:r>
    </w:p>
    <w:p w14:paraId="7E6842AA" w14:textId="294700AD" w:rsidR="00611792" w:rsidRDefault="00682B71" w:rsidP="004934D5">
      <w:pPr>
        <w:jc w:val="both"/>
      </w:pPr>
      <w:r>
        <w:t>At the last meeting at Chongqing, it was agreed that up to 2 BFD RS per BWP can be configured for SCell BFR. Also, up to 2 BFD RS can be configured for PCell BFR.</w:t>
      </w:r>
      <w:r w:rsidR="000174A7">
        <w:t xml:space="preserve"> </w:t>
      </w:r>
      <w:r w:rsidR="00867CB3">
        <w:t>I</w:t>
      </w:r>
      <w:r w:rsidR="000174A7">
        <w:t xml:space="preserve">n the case of implicit configuration, </w:t>
      </w:r>
      <w:r w:rsidR="00867CB3">
        <w:t>the UE determines 2 BFD RS as QCL-TypeD RS</w:t>
      </w:r>
      <w:r>
        <w:t xml:space="preserve"> </w:t>
      </w:r>
      <w:r w:rsidR="00867CB3">
        <w:t>in TCI states for respective CORESETs. T</w:t>
      </w:r>
      <w:r>
        <w:t>he maximum number of CORESETs per BWP</w:t>
      </w:r>
      <w:r w:rsidR="00BE2623">
        <w:t>/CC</w:t>
      </w:r>
      <w:r>
        <w:t xml:space="preserve"> is 3 and the number is increased to 5 for Multiple TRP scenario</w:t>
      </w:r>
      <w:r w:rsidR="00BE2623">
        <w:t xml:space="preserve"> in Rel-16</w:t>
      </w:r>
      <w:r>
        <w:t xml:space="preserve">. Therefore, it is necessary to define UE behavior when the number of configured CORESETs is more than 2. We propose a simple solution as follows. </w:t>
      </w:r>
    </w:p>
    <w:p w14:paraId="39475ED8" w14:textId="1F4F0410" w:rsidR="008C305E" w:rsidRDefault="008C305E" w:rsidP="00BA1226">
      <w:pPr>
        <w:pStyle w:val="Caption"/>
        <w:spacing w:after="240"/>
      </w:pPr>
      <w:r>
        <w:t xml:space="preserve">Proposal </w:t>
      </w:r>
      <w:r w:rsidR="00736682">
        <w:t>7</w:t>
      </w:r>
      <w:r>
        <w:t xml:space="preserve">: </w:t>
      </w:r>
      <w:r w:rsidR="000174A7">
        <w:rPr>
          <w:lang w:val="en-US"/>
        </w:rPr>
        <w:t>T</w:t>
      </w:r>
      <w:r w:rsidR="000174A7" w:rsidRPr="000174A7">
        <w:rPr>
          <w:lang w:val="en-US"/>
        </w:rPr>
        <w:t xml:space="preserve">he UE </w:t>
      </w:r>
      <w:r w:rsidR="00867CB3">
        <w:rPr>
          <w:lang w:val="en-US"/>
        </w:rPr>
        <w:t>determines</w:t>
      </w:r>
      <w:r w:rsidR="000174A7" w:rsidRPr="000174A7">
        <w:rPr>
          <w:lang w:val="en-US"/>
        </w:rPr>
        <w:t xml:space="preserve"> </w:t>
      </w:r>
      <w:r w:rsidR="000174A7">
        <w:rPr>
          <w:lang w:val="en-US"/>
        </w:rPr>
        <w:t>2</w:t>
      </w:r>
      <w:r w:rsidR="000174A7" w:rsidRPr="000174A7">
        <w:rPr>
          <w:lang w:val="en-US"/>
        </w:rPr>
        <w:t xml:space="preserve"> BFD </w:t>
      </w:r>
      <w:r w:rsidR="00867CB3">
        <w:rPr>
          <w:lang w:val="en-US"/>
        </w:rPr>
        <w:t>RS</w:t>
      </w:r>
      <w:r w:rsidR="000174A7" w:rsidRPr="000174A7">
        <w:rPr>
          <w:lang w:val="en-US"/>
        </w:rPr>
        <w:t xml:space="preserve"> as QCL</w:t>
      </w:r>
      <w:r w:rsidR="00867CB3">
        <w:rPr>
          <w:lang w:val="en-US"/>
        </w:rPr>
        <w:t>-</w:t>
      </w:r>
      <w:r w:rsidR="000174A7" w:rsidRPr="000174A7">
        <w:rPr>
          <w:lang w:val="en-US"/>
        </w:rPr>
        <w:t xml:space="preserve">TypeD </w:t>
      </w:r>
      <w:r w:rsidR="00867CB3">
        <w:rPr>
          <w:lang w:val="en-US"/>
        </w:rPr>
        <w:t>RS</w:t>
      </w:r>
      <w:r w:rsidR="000174A7" w:rsidRPr="000174A7">
        <w:rPr>
          <w:lang w:val="en-US"/>
        </w:rPr>
        <w:t xml:space="preserve"> </w:t>
      </w:r>
      <w:r w:rsidR="00867CB3">
        <w:rPr>
          <w:lang w:val="en-US"/>
        </w:rPr>
        <w:t>of</w:t>
      </w:r>
      <w:r w:rsidR="000174A7" w:rsidRPr="000174A7">
        <w:rPr>
          <w:lang w:val="en-US"/>
        </w:rPr>
        <w:t xml:space="preserve"> CORESETs with </w:t>
      </w:r>
      <w:r w:rsidR="000174A7">
        <w:rPr>
          <w:lang w:val="en-US"/>
        </w:rPr>
        <w:t xml:space="preserve">2 </w:t>
      </w:r>
      <w:r w:rsidR="000174A7" w:rsidRPr="000174A7">
        <w:rPr>
          <w:lang w:val="en-US"/>
        </w:rPr>
        <w:t>lowest index(es)</w:t>
      </w:r>
      <w:r w:rsidR="000174A7">
        <w:rPr>
          <w:lang w:val="en-US"/>
        </w:rPr>
        <w:t xml:space="preserve"> for implicit configuration of SCell BFR</w:t>
      </w:r>
      <w:r w:rsidR="000174A7" w:rsidRPr="000174A7">
        <w:rPr>
          <w:lang w:val="en-US"/>
        </w:rPr>
        <w:t xml:space="preserve">. </w:t>
      </w:r>
    </w:p>
    <w:p w14:paraId="1C95F038" w14:textId="71365E09" w:rsidR="005A3426" w:rsidRDefault="00051E97" w:rsidP="004934D5">
      <w:pPr>
        <w:jc w:val="both"/>
      </w:pPr>
      <w:r>
        <w:t>One</w:t>
      </w:r>
      <w:r w:rsidR="005A3426">
        <w:t xml:space="preserve"> meaningful scenario can be FR1</w:t>
      </w:r>
      <w:r w:rsidR="00864672">
        <w:t>/FR2</w:t>
      </w:r>
      <w:r w:rsidR="005A3426">
        <w:t xml:space="preserve"> PCell + FR2 DL-only SCell. With wider bandwidth in FR2, the throughput is expected much higher than what sub-6 GHz band can provide. Applications that </w:t>
      </w:r>
      <w:r w:rsidR="00130ED8">
        <w:t>require such</w:t>
      </w:r>
      <w:r w:rsidR="005A3426">
        <w:t xml:space="preserve"> high DL throughput support can be enumerate</w:t>
      </w:r>
      <w:r w:rsidR="00AA0B1D">
        <w:t>d relative</w:t>
      </w:r>
      <w:r w:rsidR="00E20FB0">
        <w:t xml:space="preserve"> easily when compared with</w:t>
      </w:r>
      <w:r w:rsidR="005A3426">
        <w:t xml:space="preserve"> its UL counterpart. In addition, FR2 UL faces challenges such as PA </w:t>
      </w:r>
      <w:r w:rsidR="00E20FB0">
        <w:t>power consumption,</w:t>
      </w:r>
      <w:r w:rsidR="005A3426">
        <w:t xml:space="preserve"> heat dissipation</w:t>
      </w:r>
      <w:r w:rsidR="00E20FB0">
        <w:t xml:space="preserve"> etc.</w:t>
      </w:r>
      <w:r w:rsidR="00BA76A1">
        <w:t xml:space="preserve"> at UE</w:t>
      </w:r>
      <w:r w:rsidR="005A3426">
        <w:t xml:space="preserve">. </w:t>
      </w:r>
      <w:r w:rsidR="00BA76A1">
        <w:t>By i</w:t>
      </w:r>
      <w:r w:rsidR="005A3426">
        <w:t>gnoring UL when it is not necessary, user experience can be increase</w:t>
      </w:r>
      <w:r w:rsidR="00E20FB0">
        <w:t>d</w:t>
      </w:r>
      <w:r w:rsidR="005A3426">
        <w:t xml:space="preserve"> from those aspects, not to mentioned relieved UE implementation complexity.</w:t>
      </w:r>
    </w:p>
    <w:p w14:paraId="06FD09A8" w14:textId="77777777" w:rsidR="00B924E8" w:rsidRDefault="00B924E8" w:rsidP="005A3426"/>
    <w:p w14:paraId="352BA49E" w14:textId="66570BE0" w:rsidR="00614FD7" w:rsidRPr="004934D5" w:rsidRDefault="00614FD7" w:rsidP="004934D5">
      <w:pPr>
        <w:pStyle w:val="ListParagraph"/>
        <w:numPr>
          <w:ilvl w:val="0"/>
          <w:numId w:val="39"/>
        </w:numPr>
        <w:rPr>
          <w:b/>
          <w:sz w:val="24"/>
          <w:szCs w:val="24"/>
        </w:rPr>
      </w:pPr>
      <w:r w:rsidRPr="004934D5">
        <w:rPr>
          <w:b/>
          <w:sz w:val="24"/>
          <w:szCs w:val="24"/>
        </w:rPr>
        <w:t>BFRQ transmission</w:t>
      </w:r>
    </w:p>
    <w:p w14:paraId="595A5469" w14:textId="043BF620" w:rsidR="00C779AE" w:rsidRDefault="003E4D34" w:rsidP="004934D5">
      <w:pPr>
        <w:jc w:val="both"/>
      </w:pPr>
      <w:r>
        <w:t xml:space="preserve">We propose one solution to further reduce the latency and the overhead. It is based on BFR SR on PUCCH and MAC CE transmission on PUSCH. As in </w:t>
      </w:r>
      <w:r w:rsidR="00426CA3">
        <w:fldChar w:fldCharType="begin"/>
      </w:r>
      <w:r w:rsidR="00426CA3">
        <w:instrText xml:space="preserve"> REF _Ref4682760 \r \h </w:instrText>
      </w:r>
      <w:r w:rsidR="00426CA3">
        <w:fldChar w:fldCharType="separate"/>
      </w:r>
      <w:r w:rsidR="00126992">
        <w:t>[</w:t>
      </w:r>
      <w:r w:rsidR="00597442">
        <w:t>1</w:t>
      </w:r>
      <w:r w:rsidR="00126992">
        <w:t>]</w:t>
      </w:r>
      <w:r w:rsidR="00426CA3">
        <w:fldChar w:fldCharType="end"/>
      </w:r>
      <w:r>
        <w:t>, if we use normal SR</w:t>
      </w:r>
      <w:r w:rsidR="00D31086">
        <w:t>+MAC CE based solution</w:t>
      </w:r>
      <w:r>
        <w:t>, it will lead to large latency</w:t>
      </w:r>
      <w:r w:rsidR="005B3F49">
        <w:t xml:space="preserve"> due to the normal procedure of SR transmission</w:t>
      </w:r>
      <w:r>
        <w:t xml:space="preserve">. </w:t>
      </w:r>
      <w:r w:rsidR="005B3F49">
        <w:t>Thus, w</w:t>
      </w:r>
      <w:r>
        <w:t xml:space="preserve">e introduce special SR called BFR SR for SCell BFR to avoid unnecessary delay because gNB cannot tell the importance of request using normal SR. </w:t>
      </w:r>
      <w:r w:rsidR="005B3F49">
        <w:t>In addition</w:t>
      </w:r>
      <w:r>
        <w:t xml:space="preserve">, </w:t>
      </w:r>
      <w:r w:rsidR="008705AF">
        <w:t xml:space="preserve">the </w:t>
      </w:r>
      <w:r>
        <w:t xml:space="preserve">gNB doesn’t know how much UE wants to transmit the data on uplink. BFR procedures based on BFR SR and MAC CE are shown in </w:t>
      </w:r>
      <w:r w:rsidR="000236A6">
        <w:fldChar w:fldCharType="begin"/>
      </w:r>
      <w:r w:rsidR="000236A6">
        <w:instrText xml:space="preserve"> REF _Ref4682445 \h </w:instrText>
      </w:r>
      <w:r w:rsidR="000236A6">
        <w:fldChar w:fldCharType="separate"/>
      </w:r>
      <w:r w:rsidR="00126992">
        <w:t xml:space="preserve">Figure </w:t>
      </w:r>
      <w:r w:rsidR="00126992">
        <w:rPr>
          <w:noProof/>
        </w:rPr>
        <w:t>2</w:t>
      </w:r>
      <w:r w:rsidR="000236A6">
        <w:fldChar w:fldCharType="end"/>
      </w:r>
      <w:r>
        <w:t xml:space="preserve">. </w:t>
      </w:r>
      <w:r w:rsidR="00B953E9">
        <w:t xml:space="preserve">When UE detects SCell beam failure and finds a new beam, UE sends BFR SR to network to request the UL grant. </w:t>
      </w:r>
      <w:r w:rsidR="00426CA3">
        <w:t xml:space="preserve">The </w:t>
      </w:r>
      <w:r w:rsidR="00B953E9">
        <w:t xml:space="preserve">gNB could assign enough UL grant for transmitting new BFRQ MAC CE which conveys SCell index and new beam ID. Unlike normal SR, </w:t>
      </w:r>
      <w:r w:rsidR="008705AF">
        <w:t xml:space="preserve">the </w:t>
      </w:r>
      <w:r w:rsidR="00B953E9">
        <w:t>gNB can schedule UL grant ASAP with higher priority to further reduce the latency unlike normal SR. If we use normal SR, UL grant might be delayed due to high traffic in the cell. Also, we don’t need the additional buffer status reporting (BSR) procedures because gNB exactly know how much UE wants to transmit for SCell BFRQ.</w:t>
      </w:r>
    </w:p>
    <w:p w14:paraId="61D2B8E3" w14:textId="77777777" w:rsidR="00C962BA" w:rsidRDefault="00C962BA" w:rsidP="004934D5"/>
    <w:p w14:paraId="6C0BB507" w14:textId="3B65C19A" w:rsidR="00C962BA" w:rsidRDefault="00C962BA" w:rsidP="004934D5">
      <w:pPr>
        <w:jc w:val="center"/>
      </w:pPr>
      <w:r>
        <w:object w:dxaOrig="7486" w:dyaOrig="3900" w14:anchorId="7341B911">
          <v:shape id="_x0000_i1026" type="#_x0000_t75" style="width:374.25pt;height:193.85pt" o:ole="">
            <v:imagedata r:id="rId12" o:title=""/>
          </v:shape>
          <o:OLEObject Type="Embed" ProgID="Visio.Drawing.15" ShapeID="_x0000_i1026" DrawAspect="Content" ObjectID="_1634730276" r:id="rId13"/>
        </w:object>
      </w:r>
    </w:p>
    <w:p w14:paraId="6B5180FE" w14:textId="3BE656F7" w:rsidR="00B553A1" w:rsidRPr="004C696D" w:rsidRDefault="00B553A1" w:rsidP="00B553A1">
      <w:pPr>
        <w:pStyle w:val="Caption"/>
        <w:jc w:val="center"/>
        <w:rPr>
          <w:iCs/>
          <w:lang w:eastAsia="zh-TW"/>
        </w:rPr>
      </w:pPr>
      <w:bookmarkStart w:id="5" w:name="_Ref4682445"/>
      <w:r>
        <w:t xml:space="preserve">Figure </w:t>
      </w:r>
      <w:r>
        <w:fldChar w:fldCharType="begin"/>
      </w:r>
      <w:r>
        <w:instrText xml:space="preserve"> SEQ Figure \* ARABIC </w:instrText>
      </w:r>
      <w:r>
        <w:fldChar w:fldCharType="separate"/>
      </w:r>
      <w:r w:rsidR="00126992">
        <w:rPr>
          <w:noProof/>
        </w:rPr>
        <w:t>2</w:t>
      </w:r>
      <w:r>
        <w:fldChar w:fldCharType="end"/>
      </w:r>
      <w:bookmarkEnd w:id="5"/>
      <w:r>
        <w:t xml:space="preserve">: </w:t>
      </w:r>
      <w:r w:rsidR="00005184">
        <w:t>SCell BFR procedure using PUCCH BFR SR and BFRQ MAC CE</w:t>
      </w:r>
    </w:p>
    <w:p w14:paraId="4CF0CA54" w14:textId="58F51AA5" w:rsidR="00B953E9" w:rsidRDefault="00B953E9" w:rsidP="004934D5">
      <w:pPr>
        <w:jc w:val="both"/>
        <w:rPr>
          <w:lang w:val="en-GB"/>
        </w:rPr>
      </w:pPr>
      <w:r>
        <w:rPr>
          <w:lang w:val="en-GB"/>
        </w:rPr>
        <w:t>We give an example of transmitting BFR SR using PUCCH format 0 in</w:t>
      </w:r>
      <w:r w:rsidR="00426CA3">
        <w:rPr>
          <w:lang w:val="en-GB"/>
        </w:rPr>
        <w:t xml:space="preserve">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126992">
        <w:t xml:space="preserve">Figure </w:t>
      </w:r>
      <w:r w:rsidR="00126992">
        <w:rPr>
          <w:noProof/>
        </w:rPr>
        <w:t>3</w:t>
      </w:r>
      <w:r w:rsidR="00426CA3">
        <w:rPr>
          <w:lang w:val="en-GB"/>
        </w:rPr>
        <w:fldChar w:fldCharType="end"/>
      </w:r>
      <w:r>
        <w:rPr>
          <w:lang w:val="en-GB"/>
        </w:rPr>
        <w:t xml:space="preserve">. When UE transmits UCI using PUCCH format 0, UE selects one cyclic shift (CS) value out of 12 CS values. </w:t>
      </w:r>
      <w:r w:rsidR="00426CA3">
        <w:rPr>
          <w:lang w:val="en-GB"/>
        </w:rPr>
        <w:fldChar w:fldCharType="begin"/>
      </w:r>
      <w:r w:rsidR="00426CA3">
        <w:rPr>
          <w:lang w:val="en-GB"/>
        </w:rPr>
        <w:instrText xml:space="preserve"> REF _Ref4682517 \h </w:instrText>
      </w:r>
      <w:r w:rsidR="00426CA3">
        <w:rPr>
          <w:lang w:val="en-GB"/>
        </w:rPr>
      </w:r>
      <w:r w:rsidR="00426CA3">
        <w:rPr>
          <w:lang w:val="en-GB"/>
        </w:rPr>
        <w:fldChar w:fldCharType="separate"/>
      </w:r>
      <w:r w:rsidR="00126992">
        <w:t xml:space="preserve">Figure </w:t>
      </w:r>
      <w:r w:rsidR="00126992">
        <w:rPr>
          <w:noProof/>
        </w:rPr>
        <w:t>3</w:t>
      </w:r>
      <w:r w:rsidR="00426CA3">
        <w:rPr>
          <w:lang w:val="en-GB"/>
        </w:rPr>
        <w:fldChar w:fldCharType="end"/>
      </w:r>
      <w:r>
        <w:rPr>
          <w:lang w:val="en-GB"/>
        </w:rPr>
        <w:t xml:space="preserve"> shows the assigned CS values depending on how many HARQ bits are multiplexed with SR and BFR SR. UE are assigned with two CS values for each SR and BFR SR for SR and BFR SR only. When we transmit 1 HARQ bit with SR and BFR SR, UE are assigned 2 more CS values for BFR SR. So, UE selects one CS value out of 6 CS values according to SR, BFR SR and HARQ information. Also, 2 HARQ bits with SR and BFR SR is shown in the figure. Thus, we can reuse the existing structure for normal SR transmission using PUCCH format 0 and it will lead to small impact for Rel-15. In addition, it is easy for </w:t>
      </w:r>
      <w:r w:rsidR="00426CA3">
        <w:rPr>
          <w:lang w:val="en-GB"/>
        </w:rPr>
        <w:t xml:space="preserve">the </w:t>
      </w:r>
      <w:r>
        <w:rPr>
          <w:lang w:val="en-GB"/>
        </w:rPr>
        <w:t xml:space="preserve">gNB to schedule or handle PUCCH resource scheduling. </w:t>
      </w:r>
    </w:p>
    <w:p w14:paraId="3B1C13E6" w14:textId="25855BAF" w:rsidR="00B953E9" w:rsidRDefault="00B953E9" w:rsidP="004934D5">
      <w:pPr>
        <w:jc w:val="center"/>
      </w:pPr>
      <w:r>
        <w:object w:dxaOrig="9405" w:dyaOrig="8190" w14:anchorId="51DAC536">
          <v:shape id="_x0000_i1027" type="#_x0000_t75" style="width:350.5pt;height:305.8pt" o:ole="">
            <v:imagedata r:id="rId14" o:title=""/>
          </v:shape>
          <o:OLEObject Type="Embed" ProgID="Visio.Drawing.15" ShapeID="_x0000_i1027" DrawAspect="Content" ObjectID="_1634730277" r:id="rId15"/>
        </w:object>
      </w:r>
    </w:p>
    <w:p w14:paraId="4173A01E" w14:textId="0EA322C4" w:rsidR="00B953E9" w:rsidRPr="004C696D" w:rsidRDefault="00B953E9" w:rsidP="00B953E9">
      <w:pPr>
        <w:pStyle w:val="Caption"/>
        <w:jc w:val="center"/>
        <w:rPr>
          <w:iCs/>
          <w:lang w:eastAsia="zh-TW"/>
        </w:rPr>
      </w:pPr>
      <w:bookmarkStart w:id="6" w:name="_Ref4682517"/>
      <w:r>
        <w:t xml:space="preserve">Figure </w:t>
      </w:r>
      <w:r>
        <w:fldChar w:fldCharType="begin"/>
      </w:r>
      <w:r>
        <w:instrText xml:space="preserve"> SEQ Figure \* ARABIC </w:instrText>
      </w:r>
      <w:r>
        <w:fldChar w:fldCharType="separate"/>
      </w:r>
      <w:r w:rsidR="00126992">
        <w:rPr>
          <w:noProof/>
        </w:rPr>
        <w:t>3</w:t>
      </w:r>
      <w:r>
        <w:fldChar w:fldCharType="end"/>
      </w:r>
      <w:bookmarkEnd w:id="6"/>
      <w:r>
        <w:t xml:space="preserve">: </w:t>
      </w:r>
      <w:r w:rsidR="00005184">
        <w:t>SR and BFR SR transmission with HARQ using PUCCH format 0</w:t>
      </w:r>
    </w:p>
    <w:p w14:paraId="23B96592" w14:textId="77777777" w:rsidR="00B953E9" w:rsidRDefault="00B953E9" w:rsidP="004934D5">
      <w:pPr>
        <w:rPr>
          <w:lang w:val="en-GB"/>
        </w:rPr>
      </w:pPr>
    </w:p>
    <w:p w14:paraId="47D8641C" w14:textId="77777777" w:rsidR="005E26E0" w:rsidRDefault="00DD64E7" w:rsidP="002135E1">
      <w:pPr>
        <w:jc w:val="both"/>
        <w:rPr>
          <w:lang w:val="en-GB"/>
        </w:rPr>
      </w:pPr>
      <w:r>
        <w:rPr>
          <w:lang w:val="en-GB"/>
        </w:rPr>
        <w:lastRenderedPageBreak/>
        <w:t>Alternatively, we can reuse the existing SR configuratio</w:t>
      </w:r>
      <w:r w:rsidR="005E26E0">
        <w:rPr>
          <w:lang w:val="en-GB"/>
        </w:rPr>
        <w:t xml:space="preserve">n. Each logical channel configuration has </w:t>
      </w:r>
      <w:r w:rsidR="005E26E0" w:rsidRPr="002135E1">
        <w:rPr>
          <w:rFonts w:ascii="Courier New" w:eastAsia="Times New Roman" w:hAnsi="Courier New"/>
          <w:noProof/>
          <w:szCs w:val="22"/>
          <w:lang w:val="en-GB" w:eastAsia="en-GB"/>
        </w:rPr>
        <w:t>SchedulingRequestId</w:t>
      </w:r>
      <w:r w:rsidR="005E26E0">
        <w:rPr>
          <w:lang w:val="en-GB"/>
        </w:rPr>
        <w:t xml:space="preserve"> which is associated with </w:t>
      </w:r>
      <w:r w:rsidR="005E26E0" w:rsidRPr="002135E1">
        <w:rPr>
          <w:rFonts w:ascii="Courier New" w:eastAsia="Times New Roman" w:hAnsi="Courier New"/>
          <w:noProof/>
          <w:szCs w:val="22"/>
          <w:lang w:val="en-GB" w:eastAsia="en-GB"/>
        </w:rPr>
        <w:t>SchedulingRequestResourceConfig</w:t>
      </w:r>
      <w:r w:rsidR="005E26E0">
        <w:t xml:space="preserve">. The periodicity and offset of scheduling request resource and the corresponding PUCCH resource are included in </w:t>
      </w:r>
      <w:r w:rsidR="005E26E0" w:rsidRPr="002135E1">
        <w:rPr>
          <w:rFonts w:ascii="Courier New" w:eastAsia="Times New Roman" w:hAnsi="Courier New"/>
          <w:noProof/>
          <w:szCs w:val="22"/>
          <w:lang w:val="en-GB" w:eastAsia="en-GB"/>
        </w:rPr>
        <w:t>SchedulingRequestResourceConfig</w:t>
      </w:r>
      <w:r w:rsidR="005E26E0">
        <w:t xml:space="preserve">. According to the priority of each logical channel (group), the gNB can configure different periodicity (from 2 symbols to 640 slots). In the case of BFRQ, the gNB can assign small periodicity considering the urgency of BFR. However, the gNB should also consider the overhead of PUCCH resources. The gNB can also configure small </w:t>
      </w:r>
      <w:r w:rsidR="005E26E0" w:rsidRPr="002135E1">
        <w:rPr>
          <w:rFonts w:ascii="Courier New" w:eastAsia="Times New Roman" w:hAnsi="Courier New"/>
          <w:noProof/>
          <w:szCs w:val="22"/>
          <w:lang w:val="en-GB" w:eastAsia="en-GB"/>
        </w:rPr>
        <w:t>sr-ProhibitTimer</w:t>
      </w:r>
      <w:r w:rsidR="005E26E0">
        <w:t xml:space="preserve"> (from 1ms to 128ms) using </w:t>
      </w:r>
      <w:r w:rsidR="005E26E0" w:rsidRPr="002135E1">
        <w:rPr>
          <w:rFonts w:ascii="Courier New" w:eastAsia="Times New Roman" w:hAnsi="Courier New"/>
          <w:noProof/>
          <w:szCs w:val="22"/>
          <w:lang w:val="en-GB" w:eastAsia="en-GB"/>
        </w:rPr>
        <w:t>SchedulingRequestToAddMod</w:t>
      </w:r>
      <w:r w:rsidR="005E26E0" w:rsidRPr="005E26E0">
        <w:t xml:space="preserve"> </w:t>
      </w:r>
      <w:r w:rsidR="005E26E0">
        <w:t xml:space="preserve">for BFR SR in order to further reduce the latency. Therefore, we would like to add </w:t>
      </w:r>
      <w:r w:rsidR="005E26E0" w:rsidRPr="000B3E1B">
        <w:rPr>
          <w:rFonts w:ascii="Courier New" w:eastAsia="Times New Roman" w:hAnsi="Courier New"/>
          <w:noProof/>
          <w:szCs w:val="22"/>
          <w:lang w:val="en-GB" w:eastAsia="en-GB"/>
        </w:rPr>
        <w:t>SchedulingRequestId</w:t>
      </w:r>
      <w:r w:rsidR="005E26E0">
        <w:rPr>
          <w:rFonts w:ascii="Courier New" w:eastAsia="Times New Roman" w:hAnsi="Courier New"/>
          <w:noProof/>
          <w:szCs w:val="22"/>
          <w:lang w:val="en-GB" w:eastAsia="en-GB"/>
        </w:rPr>
        <w:t>SCellBfr</w:t>
      </w:r>
      <w:r w:rsidR="005E26E0">
        <w:t xml:space="preserve"> in </w:t>
      </w:r>
      <w:r w:rsidR="005E26E0" w:rsidRPr="00A047D1">
        <w:t>BeamFailureRecoveryConfig</w:t>
      </w:r>
      <w:r w:rsidR="005E26E0">
        <w:rPr>
          <w:lang w:val="en-GB"/>
        </w:rPr>
        <w:t>.</w:t>
      </w:r>
    </w:p>
    <w:p w14:paraId="31EF12EF" w14:textId="1B265252" w:rsidR="005E26E0" w:rsidRDefault="005E26E0" w:rsidP="002135E1">
      <w:pPr>
        <w:jc w:val="both"/>
        <w:rPr>
          <w:lang w:val="en-GB"/>
        </w:rPr>
      </w:pPr>
      <w:r>
        <w:rPr>
          <w:lang w:val="en-GB"/>
        </w:rPr>
        <w:t xml:space="preserve">When the UE needs to send BFR SR for SCell BFR with HARQ bits and the existing SR for other logical channels in PCell, the UE should drop the existing SR and send BFR SR with HARQ bits. For example, </w:t>
      </w:r>
      <w:r w:rsidR="003212DA">
        <w:rPr>
          <w:lang w:val="en-GB"/>
        </w:rPr>
        <w:t xml:space="preserve">if the UE only transmits 1 or 2 HARQ bits using PUCCH format 1, then the UE uses HARQ PUCCH resource. When the UE needs to send the normal SR with HARQ bits, the UE transmits HARQ bits on SR PUCCH resource. In addition, when the UE needs to send BFR SR, normal SR, and HARQ bits, the UE transmits HARQ bits on BFR SR PUCCH resource which is configured by </w:t>
      </w:r>
      <w:r w:rsidR="003212DA" w:rsidRPr="000B3E1B">
        <w:rPr>
          <w:rFonts w:ascii="Courier New" w:eastAsia="Times New Roman" w:hAnsi="Courier New"/>
          <w:noProof/>
          <w:szCs w:val="22"/>
          <w:lang w:val="en-GB" w:eastAsia="en-GB"/>
        </w:rPr>
        <w:t>SchedulingRequestId</w:t>
      </w:r>
      <w:r w:rsidR="003212DA">
        <w:rPr>
          <w:rFonts w:ascii="Courier New" w:eastAsia="Times New Roman" w:hAnsi="Courier New"/>
          <w:noProof/>
          <w:szCs w:val="22"/>
          <w:lang w:val="en-GB" w:eastAsia="en-GB"/>
        </w:rPr>
        <w:t>S</w:t>
      </w:r>
      <w:r w:rsidR="00C75DC6">
        <w:rPr>
          <w:rFonts w:ascii="Courier New" w:eastAsia="Times New Roman" w:hAnsi="Courier New"/>
          <w:noProof/>
          <w:szCs w:val="22"/>
          <w:lang w:val="en-GB" w:eastAsia="en-GB"/>
        </w:rPr>
        <w:t>c</w:t>
      </w:r>
      <w:r w:rsidR="003212DA">
        <w:rPr>
          <w:rFonts w:ascii="Courier New" w:eastAsia="Times New Roman" w:hAnsi="Courier New"/>
          <w:noProof/>
          <w:szCs w:val="22"/>
          <w:lang w:val="en-GB" w:eastAsia="en-GB"/>
        </w:rPr>
        <w:t>ellBfr.</w:t>
      </w:r>
      <w:r w:rsidR="00975293">
        <w:rPr>
          <w:rFonts w:ascii="Courier New" w:eastAsia="Times New Roman" w:hAnsi="Courier New"/>
          <w:noProof/>
          <w:szCs w:val="22"/>
          <w:lang w:val="en-GB" w:eastAsia="en-GB"/>
        </w:rPr>
        <w:t xml:space="preserve"> </w:t>
      </w:r>
      <w:r w:rsidR="00975293" w:rsidRPr="002135E1">
        <w:rPr>
          <w:lang w:val="en-GB"/>
        </w:rPr>
        <w:t xml:space="preserve">Regarding </w:t>
      </w:r>
      <w:r w:rsidR="00975293">
        <w:rPr>
          <w:lang w:val="en-GB"/>
        </w:rPr>
        <w:t xml:space="preserve">other collision handling with CSI, the UE can apply the same principle as the existing SR collision rule. </w:t>
      </w:r>
    </w:p>
    <w:p w14:paraId="7F43E695" w14:textId="1ED09037" w:rsidR="004C7A3E" w:rsidRDefault="003900A0" w:rsidP="004934D5">
      <w:pPr>
        <w:jc w:val="both"/>
      </w:pPr>
      <w:r>
        <w:rPr>
          <w:lang w:val="en-GB"/>
        </w:rPr>
        <w:t xml:space="preserve">In the last meeting, as a second step of SCell BFRQ procedure the UE can transmit SCell index and new beam index (NBI) using MAC CE. </w:t>
      </w:r>
      <w:r w:rsidR="00005184">
        <w:t xml:space="preserve">New BFRQ MAC CE can convey only SCell index and new best beam </w:t>
      </w:r>
      <w:r>
        <w:t>index</w:t>
      </w:r>
      <w:r w:rsidR="00005184">
        <w:t xml:space="preserve">. Also, it can include SCell index and multiple beam </w:t>
      </w:r>
      <w:r>
        <w:t>index(es)</w:t>
      </w:r>
      <w:r w:rsidR="00005184">
        <w:t xml:space="preserve"> with corresponding RSRPs similar to normal beam reporting. New MAC CE may include the bit whether UE is able to find a new beam satisfying minimum RSRP threshold, so that the gNB can deactivate the corresponding SCell.</w:t>
      </w:r>
      <w:r w:rsidR="004C7A3E">
        <w:t xml:space="preserve"> According to the agreements of the last meeting, UE reports only 1 beam with corresponding beam index only per SCell during a BFRQ procedure. </w:t>
      </w:r>
      <w:r>
        <w:t xml:space="preserve">In order to help RAN2’s specification work, we would like to propose the new design of BFRQ MAC CE. </w:t>
      </w:r>
      <w:r w:rsidR="004C7A3E">
        <w:fldChar w:fldCharType="begin"/>
      </w:r>
      <w:r w:rsidR="004C7A3E">
        <w:instrText xml:space="preserve"> REF _Ref16757033 \h </w:instrText>
      </w:r>
      <w:r w:rsidR="004C7A3E">
        <w:fldChar w:fldCharType="separate"/>
      </w:r>
      <w:r w:rsidR="00126992">
        <w:t xml:space="preserve">Figure </w:t>
      </w:r>
      <w:r w:rsidR="00126992">
        <w:rPr>
          <w:noProof/>
        </w:rPr>
        <w:t>4</w:t>
      </w:r>
      <w:r w:rsidR="004C7A3E">
        <w:fldChar w:fldCharType="end"/>
      </w:r>
      <w:r w:rsidR="004C7A3E">
        <w:t xml:space="preserve"> shows one exemplary design for BFRQ MAC CE. MAC CE includes up to 31 SCell indexes using a bit map. Each following byte can include </w:t>
      </w:r>
      <w:r>
        <w:t>new beam index(es)</w:t>
      </w:r>
      <w:r w:rsidR="004C7A3E">
        <w:t xml:space="preserve"> for each SCell. </w:t>
      </w:r>
    </w:p>
    <w:p w14:paraId="0F6585BB" w14:textId="42395A08" w:rsidR="00005184" w:rsidRDefault="00005184" w:rsidP="004934D5">
      <w:pPr>
        <w:jc w:val="both"/>
      </w:pPr>
    </w:p>
    <w:p w14:paraId="5D0395CB" w14:textId="39C615ED" w:rsidR="00DD64E7" w:rsidRDefault="004C7A3E" w:rsidP="002135E1">
      <w:pPr>
        <w:jc w:val="center"/>
      </w:pPr>
      <w:r>
        <w:object w:dxaOrig="7231" w:dyaOrig="6961" w14:anchorId="2731C74E">
          <v:shape id="_x0000_i1028" type="#_x0000_t75" style="width:246.45pt;height:236.55pt" o:ole="">
            <v:imagedata r:id="rId16" o:title=""/>
          </v:shape>
          <o:OLEObject Type="Embed" ProgID="Visio.Drawing.15" ShapeID="_x0000_i1028" DrawAspect="Content" ObjectID="_1634730278" r:id="rId17"/>
        </w:object>
      </w:r>
    </w:p>
    <w:p w14:paraId="3182A656" w14:textId="05A4AD66" w:rsidR="00DD64E7" w:rsidRPr="004C696D" w:rsidRDefault="00DD64E7" w:rsidP="00DD64E7">
      <w:pPr>
        <w:pStyle w:val="Caption"/>
        <w:jc w:val="center"/>
        <w:rPr>
          <w:iCs/>
          <w:lang w:eastAsia="zh-TW"/>
        </w:rPr>
      </w:pPr>
      <w:bookmarkStart w:id="7" w:name="_Ref16757033"/>
      <w:bookmarkStart w:id="8" w:name="_Ref16757019"/>
      <w:r>
        <w:t xml:space="preserve">Figure </w:t>
      </w:r>
      <w:r>
        <w:fldChar w:fldCharType="begin"/>
      </w:r>
      <w:r>
        <w:instrText xml:space="preserve"> SEQ Figure \* ARABIC </w:instrText>
      </w:r>
      <w:r>
        <w:fldChar w:fldCharType="separate"/>
      </w:r>
      <w:r w:rsidR="00126992">
        <w:rPr>
          <w:noProof/>
        </w:rPr>
        <w:t>4</w:t>
      </w:r>
      <w:r>
        <w:fldChar w:fldCharType="end"/>
      </w:r>
      <w:bookmarkEnd w:id="7"/>
      <w:r>
        <w:t xml:space="preserve">: </w:t>
      </w:r>
      <w:r w:rsidR="004C7A3E">
        <w:t xml:space="preserve">Exemplary design for BFRQ MAC CE </w:t>
      </w:r>
      <w:bookmarkEnd w:id="8"/>
    </w:p>
    <w:p w14:paraId="3E7733D4" w14:textId="77777777" w:rsidR="00DD64E7" w:rsidRDefault="00DD64E7" w:rsidP="004934D5">
      <w:pPr>
        <w:jc w:val="both"/>
      </w:pPr>
    </w:p>
    <w:p w14:paraId="5BC1C936" w14:textId="77777777" w:rsidR="00DD16D5" w:rsidRPr="005A3426" w:rsidRDefault="00DD16D5" w:rsidP="00C5033F"/>
    <w:p w14:paraId="1E750FA5" w14:textId="77777777" w:rsidR="00051E97" w:rsidRDefault="00051E97" w:rsidP="00051E97">
      <w:pPr>
        <w:pStyle w:val="Heading2"/>
        <w:numPr>
          <w:ilvl w:val="1"/>
          <w:numId w:val="1"/>
        </w:numPr>
      </w:pPr>
      <w:r>
        <w:lastRenderedPageBreak/>
        <w:t>FR1 PCell + FR2 SCell with UL and DL</w:t>
      </w:r>
    </w:p>
    <w:p w14:paraId="0BE5DD33" w14:textId="77777777" w:rsidR="00051E97" w:rsidRDefault="00051E97" w:rsidP="00051E97">
      <w:r w:rsidRPr="00E6219D">
        <w:rPr>
          <w:lang w:val="en-GB"/>
        </w:rPr>
        <w:t>The following agreements were made in RAN1#98bis:</w:t>
      </w:r>
    </w:p>
    <w:p w14:paraId="143C7F99" w14:textId="77777777" w:rsidR="00412F7C" w:rsidRPr="00981873" w:rsidRDefault="00412F7C" w:rsidP="00412F7C">
      <w:pPr>
        <w:widowControl w:val="0"/>
        <w:autoSpaceDE w:val="0"/>
        <w:autoSpaceDN w:val="0"/>
        <w:adjustRightInd w:val="0"/>
        <w:snapToGrid w:val="0"/>
        <w:spacing w:after="0"/>
        <w:jc w:val="both"/>
        <w:rPr>
          <w:rFonts w:eastAsia="Batang"/>
          <w:bCs/>
          <w:kern w:val="2"/>
          <w:szCs w:val="22"/>
          <w:highlight w:val="green"/>
          <w:lang w:val="en-GB" w:eastAsia="ko-KR"/>
        </w:rPr>
      </w:pPr>
      <w:r w:rsidRPr="00981873">
        <w:rPr>
          <w:rFonts w:eastAsia="Batang"/>
          <w:bCs/>
          <w:kern w:val="2"/>
          <w:szCs w:val="22"/>
          <w:highlight w:val="green"/>
          <w:lang w:val="en-GB" w:eastAsia="ko-KR"/>
        </w:rPr>
        <w:t>Agreement</w:t>
      </w:r>
    </w:p>
    <w:p w14:paraId="6FF7D537" w14:textId="77777777" w:rsidR="00412F7C" w:rsidRPr="00981873" w:rsidRDefault="00412F7C" w:rsidP="00412F7C">
      <w:pPr>
        <w:pStyle w:val="0Maintext"/>
        <w:spacing w:after="0" w:afterAutospacing="0" w:line="240" w:lineRule="auto"/>
        <w:ind w:firstLine="0"/>
        <w:rPr>
          <w:sz w:val="22"/>
          <w:szCs w:val="22"/>
          <w:lang w:val="en-US"/>
        </w:rPr>
      </w:pPr>
      <w:r w:rsidRPr="00981873">
        <w:rPr>
          <w:sz w:val="22"/>
          <w:szCs w:val="22"/>
          <w:lang w:val="en-US"/>
        </w:rPr>
        <w:t>For SCell with both UL an</w:t>
      </w:r>
      <w:bookmarkStart w:id="9" w:name="_GoBack"/>
      <w:bookmarkEnd w:id="9"/>
      <w:r w:rsidRPr="00981873">
        <w:rPr>
          <w:sz w:val="22"/>
          <w:szCs w:val="22"/>
          <w:lang w:val="en-US"/>
        </w:rPr>
        <w:t>d DL, at least reuse the same BFRQ procedure as SCell with DL only.</w:t>
      </w:r>
    </w:p>
    <w:p w14:paraId="11BB8782" w14:textId="77777777" w:rsidR="00412F7C" w:rsidRPr="00981873" w:rsidRDefault="00412F7C" w:rsidP="00412F7C">
      <w:pPr>
        <w:pStyle w:val="0Maintext"/>
        <w:numPr>
          <w:ilvl w:val="0"/>
          <w:numId w:val="58"/>
        </w:numPr>
        <w:spacing w:after="0" w:afterAutospacing="0" w:line="240" w:lineRule="auto"/>
        <w:rPr>
          <w:sz w:val="22"/>
          <w:szCs w:val="22"/>
          <w:lang w:val="en-US"/>
        </w:rPr>
      </w:pPr>
      <w:r w:rsidRPr="00981873">
        <w:rPr>
          <w:sz w:val="22"/>
          <w:szCs w:val="22"/>
          <w:lang w:val="en-US"/>
        </w:rPr>
        <w:t>Note: Whether to support CBRA/CFRA based BFRQ for both scenarios is a separate issue.</w:t>
      </w:r>
    </w:p>
    <w:p w14:paraId="624A48B0" w14:textId="77777777" w:rsidR="00412F7C" w:rsidRPr="00981873" w:rsidRDefault="00412F7C" w:rsidP="00412F7C">
      <w:pPr>
        <w:pStyle w:val="0Maintext"/>
        <w:numPr>
          <w:ilvl w:val="0"/>
          <w:numId w:val="58"/>
        </w:numPr>
        <w:spacing w:after="0" w:afterAutospacing="0" w:line="240" w:lineRule="auto"/>
        <w:rPr>
          <w:sz w:val="22"/>
          <w:szCs w:val="22"/>
          <w:lang w:val="en-US"/>
        </w:rPr>
      </w:pPr>
      <w:r w:rsidRPr="00981873">
        <w:rPr>
          <w:sz w:val="22"/>
          <w:szCs w:val="22"/>
          <w:lang w:val="en-US"/>
        </w:rPr>
        <w:t xml:space="preserve">Note: At least from RAN1 perspective, there is no need for introducing restrictions on MAC CE transmission for BFR in Rel-16 </w:t>
      </w:r>
    </w:p>
    <w:p w14:paraId="56D36632" w14:textId="77777777" w:rsidR="00412F7C" w:rsidRPr="00981873" w:rsidRDefault="00412F7C" w:rsidP="00412F7C">
      <w:pPr>
        <w:pStyle w:val="0Maintext"/>
        <w:rPr>
          <w:sz w:val="22"/>
          <w:szCs w:val="22"/>
        </w:rPr>
      </w:pPr>
      <w:r w:rsidRPr="00981873">
        <w:rPr>
          <w:sz w:val="22"/>
          <w:szCs w:val="22"/>
          <w:lang w:val="en-US"/>
        </w:rPr>
        <w:t>FFS: Whether PUCCH-BFR can be configured on SCells</w:t>
      </w:r>
    </w:p>
    <w:p w14:paraId="5AAFD5EF" w14:textId="77777777" w:rsidR="00412F7C" w:rsidRDefault="00412F7C" w:rsidP="00051E97">
      <w:pPr>
        <w:jc w:val="both"/>
      </w:pPr>
    </w:p>
    <w:p w14:paraId="6501F696" w14:textId="77777777" w:rsidR="00051E97" w:rsidRDefault="00051E97" w:rsidP="00051E97">
      <w:pPr>
        <w:jc w:val="both"/>
      </w:pPr>
      <w:r>
        <w:t>For initial NR deployment, FR1 PCell + FR2 SCell seems the main scenario for SCell BFR and should be considered with priority. Apparently, anchoring RRC connection on FR1 PCell is beneficial for the cases where FR2 SCell is for e.g., hot-spot type of deployment with low UE mobility.</w:t>
      </w:r>
    </w:p>
    <w:p w14:paraId="175DBCF9" w14:textId="71650B89" w:rsidR="00051E97" w:rsidRDefault="00051E97" w:rsidP="00051E97">
      <w:pPr>
        <w:jc w:val="both"/>
      </w:pPr>
      <w:r>
        <w:t xml:space="preserve">For SCell with both UL and DL, we can consider other alternatives such as sending BFRQ via CBRA/CFRA on SCell. As there is no CBRA resource on SCell based on current spec, the gNB needs to additionally configure CBRA even on SCell for BFR only. In </w:t>
      </w:r>
      <w:r w:rsidR="00126992">
        <w:t>addition,</w:t>
      </w:r>
      <w:r>
        <w:t xml:space="preserve"> the probability of contention will be higher on SCell if we configure CBRA on SCell. It will impact RACH performance of PCell UEs of the cell when beam failure happens frequently. </w:t>
      </w:r>
    </w:p>
    <w:p w14:paraId="02276631" w14:textId="77777777" w:rsidR="00051E97" w:rsidRDefault="00051E97" w:rsidP="00051E97">
      <w:pPr>
        <w:jc w:val="both"/>
      </w:pPr>
      <w:r>
        <w:t>In the case of CFRA, we already excluded CFRA on PCell as a solution of SCell BFR because we need to reserve the RACH preambles for both PCell and SCell(s). It can be too much overhead. We have a similar problem for CFRA on SCell because we need to reserve the RACH preambles for PCell UEs and SCell UEs of the cell. Thus, we have the following proposal.</w:t>
      </w:r>
    </w:p>
    <w:p w14:paraId="3C880F16" w14:textId="6736A86E" w:rsidR="00051E97" w:rsidRDefault="00051E97" w:rsidP="00BA1226">
      <w:pPr>
        <w:pStyle w:val="Caption"/>
        <w:spacing w:after="240"/>
      </w:pPr>
      <w:r>
        <w:t xml:space="preserve">Proposal </w:t>
      </w:r>
      <w:r w:rsidR="00736682">
        <w:t>8</w:t>
      </w:r>
      <w:r>
        <w:t xml:space="preserve">: </w:t>
      </w:r>
      <w:r w:rsidRPr="007D33BC">
        <w:t>For SCell with both UL and DL, reuse the same BFRQ procedure as SCell with DL only.</w:t>
      </w:r>
      <w:r>
        <w:t xml:space="preserve"> </w:t>
      </w:r>
      <w:r w:rsidRPr="007D33BC">
        <w:t>RAN</w:t>
      </w:r>
      <w:r>
        <w:t>1</w:t>
      </w:r>
      <w:r w:rsidRPr="007D33BC">
        <w:t xml:space="preserve"> does not consider other alternative for SCell BFR, e.g., send BFRQ via CFRA/CBRA on SCell.</w:t>
      </w:r>
      <w:r>
        <w:t xml:space="preserve"> </w:t>
      </w:r>
    </w:p>
    <w:p w14:paraId="0C4EF8C2" w14:textId="77777777" w:rsidR="00051E97" w:rsidRPr="00C33729" w:rsidRDefault="00051E97" w:rsidP="00BA1226"/>
    <w:p w14:paraId="24C04D80" w14:textId="77777777" w:rsidR="00B47B0D" w:rsidRDefault="00B47B0D" w:rsidP="006D0A99">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0069EFA9" w14:textId="77777777" w:rsidR="00B47B0D" w:rsidRDefault="00DE259B">
      <w:pPr>
        <w:jc w:val="both"/>
        <w:rPr>
          <w:bCs/>
          <w:lang w:eastAsia="zh-TW"/>
        </w:rPr>
      </w:pPr>
      <w:r w:rsidRPr="00DA6B4A">
        <w:rPr>
          <w:bCs/>
          <w:lang w:eastAsia="zh-TW"/>
        </w:rPr>
        <w:t xml:space="preserve">In </w:t>
      </w:r>
      <w:r>
        <w:rPr>
          <w:bCs/>
          <w:lang w:eastAsia="zh-TW"/>
        </w:rPr>
        <w:t>summary, based on the above discussion we have the following</w:t>
      </w:r>
      <w:r w:rsidR="00AA0B1D">
        <w:rPr>
          <w:bCs/>
          <w:lang w:eastAsia="zh-TW"/>
        </w:rPr>
        <w:t xml:space="preserve"> observations and</w:t>
      </w:r>
      <w:r>
        <w:rPr>
          <w:bCs/>
          <w:lang w:eastAsia="zh-TW"/>
        </w:rPr>
        <w:t xml:space="preserve"> proposals:</w:t>
      </w:r>
    </w:p>
    <w:p w14:paraId="3F5A6526" w14:textId="77777777" w:rsidR="00556BB0" w:rsidRPr="00F822F2" w:rsidRDefault="00556BB0" w:rsidP="00556BB0">
      <w:pPr>
        <w:spacing w:after="0"/>
        <w:rPr>
          <w:b/>
        </w:rPr>
      </w:pPr>
      <w:r w:rsidRPr="00F822F2">
        <w:rPr>
          <w:b/>
        </w:rPr>
        <w:t>Proposal 1: For PUCCH/SRS without configured spatial relation, support default spatial relation info association</w:t>
      </w:r>
    </w:p>
    <w:p w14:paraId="09E7421E" w14:textId="77777777" w:rsidR="00556BB0" w:rsidRDefault="00556BB0" w:rsidP="00556BB0">
      <w:pPr>
        <w:pStyle w:val="ListParagraph"/>
        <w:numPr>
          <w:ilvl w:val="0"/>
          <w:numId w:val="76"/>
        </w:numPr>
        <w:spacing w:after="0"/>
        <w:rPr>
          <w:b/>
        </w:rPr>
      </w:pPr>
      <w:r>
        <w:rPr>
          <w:b/>
        </w:rPr>
        <w:t xml:space="preserve">For beam-correspondence case, </w:t>
      </w:r>
      <w:r w:rsidRPr="00F822F2">
        <w:rPr>
          <w:b/>
        </w:rPr>
        <w:t>the default spatial relation follows Alt.3</w:t>
      </w:r>
      <w:r>
        <w:rPr>
          <w:b/>
        </w:rPr>
        <w:t>:</w:t>
      </w:r>
    </w:p>
    <w:p w14:paraId="07E02E2D" w14:textId="77777777" w:rsidR="00556BB0" w:rsidRDefault="00556BB0" w:rsidP="00556BB0">
      <w:pPr>
        <w:pStyle w:val="ListParagraph"/>
        <w:numPr>
          <w:ilvl w:val="1"/>
          <w:numId w:val="76"/>
        </w:numPr>
        <w:spacing w:after="0"/>
        <w:rPr>
          <w:b/>
        </w:rPr>
      </w:pPr>
      <w:r w:rsidRPr="00F822F2">
        <w:rPr>
          <w:b/>
        </w:rPr>
        <w:t>TCI state of scheduling PDCCH for A-SRS/PUCCH, and default TCI state or QCL assumption of PDSCH for other than A-SRS/PUCCH</w:t>
      </w:r>
    </w:p>
    <w:p w14:paraId="3E582D72" w14:textId="77777777" w:rsidR="00556BB0" w:rsidRPr="00F822F2" w:rsidRDefault="00556BB0" w:rsidP="00556BB0">
      <w:pPr>
        <w:pStyle w:val="ListParagraph"/>
        <w:numPr>
          <w:ilvl w:val="0"/>
          <w:numId w:val="76"/>
        </w:numPr>
        <w:spacing w:after="0"/>
        <w:rPr>
          <w:b/>
        </w:rPr>
      </w:pPr>
      <w:r>
        <w:rPr>
          <w:b/>
        </w:rPr>
        <w:t xml:space="preserve">For non-beam-correspondence case, at least for SRS, the default </w:t>
      </w:r>
      <w:r w:rsidRPr="00F822F2">
        <w:rPr>
          <w:b/>
        </w:rPr>
        <w:t>spatial relation follows</w:t>
      </w:r>
      <w:r>
        <w:rPr>
          <w:b/>
        </w:rPr>
        <w:t xml:space="preserve"> </w:t>
      </w:r>
      <w:r w:rsidRPr="00FC706C">
        <w:rPr>
          <w:b/>
        </w:rPr>
        <w:t>the spatial relation used by the dedicated PUCCH resource with the lowest resource ID configured in the active UL BWP</w:t>
      </w:r>
    </w:p>
    <w:p w14:paraId="1D9D7EE8" w14:textId="77777777" w:rsidR="00736682" w:rsidRDefault="00736682" w:rsidP="00736682">
      <w:pPr>
        <w:pStyle w:val="Caption"/>
        <w:spacing w:after="240"/>
      </w:pPr>
      <w:r>
        <w:t>Proposal 2: Support TCI-state update for CORESET for a set of CCs even in the different band (inter-band CA) by single MAC CE</w:t>
      </w:r>
    </w:p>
    <w:p w14:paraId="0F8C4F7B" w14:textId="77777777" w:rsidR="00736682" w:rsidRDefault="00736682" w:rsidP="00736682">
      <w:pPr>
        <w:pStyle w:val="Caption"/>
        <w:spacing w:after="240"/>
      </w:pPr>
      <w:r>
        <w:t xml:space="preserve">Proposal 3: </w:t>
      </w:r>
      <w:r w:rsidRPr="006C0251">
        <w:t xml:space="preserve">For a CSI report, when reportQuantity is configured to be “ssb-Index-SINR” or “csi-SINR”, </w:t>
      </w:r>
      <w:r>
        <w:t xml:space="preserve">we support Alt 4 (N*Z3 and N*Z3’) for </w:t>
      </w:r>
      <w:r w:rsidRPr="006C0251">
        <w:t xml:space="preserve">the value </w:t>
      </w:r>
      <w:r>
        <w:t>of Z and Z’. N (at least N=2) can be reported by UE capability</w:t>
      </w:r>
    </w:p>
    <w:p w14:paraId="50785CBD" w14:textId="77777777" w:rsidR="00736682" w:rsidRDefault="00736682" w:rsidP="00736682">
      <w:pPr>
        <w:pStyle w:val="Caption"/>
        <w:spacing w:after="240"/>
      </w:pPr>
      <w:r>
        <w:t>Proposal 4: The m</w:t>
      </w:r>
      <w:r w:rsidRPr="00D92E7D">
        <w:t>aximum number of total number of CMR/IMR for L1-SINR measurement across CCs within a slot</w:t>
      </w:r>
      <w:r>
        <w:t xml:space="preserve"> is limited by K which is reported by UE capability.</w:t>
      </w:r>
    </w:p>
    <w:p w14:paraId="45ACE54A" w14:textId="77777777" w:rsidR="00736682" w:rsidRDefault="00736682" w:rsidP="00736682">
      <w:pPr>
        <w:pStyle w:val="Caption"/>
        <w:spacing w:after="240"/>
      </w:pPr>
      <w:r>
        <w:lastRenderedPageBreak/>
        <w:t>Proposal 5: Do not support QCL-TypeD can be configured to each NZP IMR</w:t>
      </w:r>
    </w:p>
    <w:p w14:paraId="370BF3B4" w14:textId="77777777" w:rsidR="00736682" w:rsidRDefault="00736682" w:rsidP="00736682">
      <w:pPr>
        <w:pStyle w:val="Caption"/>
        <w:spacing w:after="240"/>
      </w:pPr>
      <w:r>
        <w:t xml:space="preserve">Proposal 6: For PUCCH-BFR on PUCCH-SCell, </w:t>
      </w:r>
      <w:r w:rsidRPr="00611792">
        <w:t>up to 1 PUCCH-BFR resource for a BWP can be configured per UE</w:t>
      </w:r>
      <w:r>
        <w:t xml:space="preserve"> (Alt2)</w:t>
      </w:r>
      <w:r w:rsidRPr="00611792">
        <w:t xml:space="preserve"> </w:t>
      </w:r>
    </w:p>
    <w:p w14:paraId="3AFB4BD8" w14:textId="77777777" w:rsidR="00736682" w:rsidRDefault="00736682" w:rsidP="00736682">
      <w:pPr>
        <w:pStyle w:val="Caption"/>
        <w:spacing w:after="240"/>
      </w:pPr>
      <w:r>
        <w:t xml:space="preserve">Proposal 7: </w:t>
      </w:r>
      <w:r>
        <w:rPr>
          <w:lang w:val="en-US"/>
        </w:rPr>
        <w:t>T</w:t>
      </w:r>
      <w:r w:rsidRPr="000174A7">
        <w:rPr>
          <w:lang w:val="en-US"/>
        </w:rPr>
        <w:t xml:space="preserve">he UE </w:t>
      </w:r>
      <w:r>
        <w:rPr>
          <w:lang w:val="en-US"/>
        </w:rPr>
        <w:t>determines</w:t>
      </w:r>
      <w:r w:rsidRPr="000174A7">
        <w:rPr>
          <w:lang w:val="en-US"/>
        </w:rPr>
        <w:t xml:space="preserve"> </w:t>
      </w:r>
      <w:r>
        <w:rPr>
          <w:lang w:val="en-US"/>
        </w:rPr>
        <w:t>2</w:t>
      </w:r>
      <w:r w:rsidRPr="000174A7">
        <w:rPr>
          <w:lang w:val="en-US"/>
        </w:rPr>
        <w:t xml:space="preserve"> BFD </w:t>
      </w:r>
      <w:r>
        <w:rPr>
          <w:lang w:val="en-US"/>
        </w:rPr>
        <w:t>RS</w:t>
      </w:r>
      <w:r w:rsidRPr="000174A7">
        <w:rPr>
          <w:lang w:val="en-US"/>
        </w:rPr>
        <w:t xml:space="preserve"> as QCL</w:t>
      </w:r>
      <w:r>
        <w:rPr>
          <w:lang w:val="en-US"/>
        </w:rPr>
        <w:t>-</w:t>
      </w:r>
      <w:r w:rsidRPr="000174A7">
        <w:rPr>
          <w:lang w:val="en-US"/>
        </w:rPr>
        <w:t xml:space="preserve">TypeD </w:t>
      </w:r>
      <w:r>
        <w:rPr>
          <w:lang w:val="en-US"/>
        </w:rPr>
        <w:t>RS</w:t>
      </w:r>
      <w:r w:rsidRPr="000174A7">
        <w:rPr>
          <w:lang w:val="en-US"/>
        </w:rPr>
        <w:t xml:space="preserve"> </w:t>
      </w:r>
      <w:r>
        <w:rPr>
          <w:lang w:val="en-US"/>
        </w:rPr>
        <w:t>of</w:t>
      </w:r>
      <w:r w:rsidRPr="000174A7">
        <w:rPr>
          <w:lang w:val="en-US"/>
        </w:rPr>
        <w:t xml:space="preserve"> CORESETs with </w:t>
      </w:r>
      <w:r>
        <w:rPr>
          <w:lang w:val="en-US"/>
        </w:rPr>
        <w:t xml:space="preserve">2 </w:t>
      </w:r>
      <w:r w:rsidRPr="000174A7">
        <w:rPr>
          <w:lang w:val="en-US"/>
        </w:rPr>
        <w:t>lowest index(es)</w:t>
      </w:r>
      <w:r>
        <w:rPr>
          <w:lang w:val="en-US"/>
        </w:rPr>
        <w:t xml:space="preserve"> for implicit configuration of SCell BFR</w:t>
      </w:r>
      <w:r w:rsidRPr="000174A7">
        <w:rPr>
          <w:lang w:val="en-US"/>
        </w:rPr>
        <w:t xml:space="preserve">. </w:t>
      </w:r>
    </w:p>
    <w:p w14:paraId="00F0B971" w14:textId="54BC230E" w:rsidR="00BA1226" w:rsidRDefault="00BA1226" w:rsidP="00BA1226">
      <w:pPr>
        <w:pStyle w:val="Caption"/>
        <w:spacing w:after="240"/>
      </w:pPr>
      <w:r>
        <w:t xml:space="preserve">Proposal </w:t>
      </w:r>
      <w:r w:rsidR="00736682">
        <w:t>8</w:t>
      </w:r>
      <w:r>
        <w:t xml:space="preserve">: </w:t>
      </w:r>
      <w:r w:rsidRPr="007D33BC">
        <w:t>For SCell with both UL and DL, reuse the same BFRQ procedure as SCell with DL only.</w:t>
      </w:r>
      <w:r>
        <w:t xml:space="preserve"> </w:t>
      </w:r>
      <w:r w:rsidRPr="007D33BC">
        <w:t>RAN</w:t>
      </w:r>
      <w:r>
        <w:t>1</w:t>
      </w:r>
      <w:r w:rsidRPr="007D33BC">
        <w:t xml:space="preserve"> does not consider other alternative for SCell BFR, e.g., send BFRQ via CFRA/CBRA on SCell.</w:t>
      </w:r>
      <w:r>
        <w:t xml:space="preserve"> </w:t>
      </w:r>
    </w:p>
    <w:p w14:paraId="2F13B93A" w14:textId="77777777" w:rsidR="00BA1226" w:rsidRPr="00BA1226" w:rsidRDefault="00BA1226" w:rsidP="00BA1226">
      <w:pPr>
        <w:rPr>
          <w:lang w:val="en-GB"/>
        </w:rPr>
      </w:pPr>
    </w:p>
    <w:p w14:paraId="6508453C" w14:textId="77777777" w:rsidR="000422DB" w:rsidRDefault="000422DB" w:rsidP="006D0A99">
      <w:pPr>
        <w:pStyle w:val="Heading1"/>
        <w:numPr>
          <w:ilvl w:val="0"/>
          <w:numId w:val="1"/>
        </w:numPr>
        <w:jc w:val="both"/>
      </w:pPr>
      <w:r w:rsidRPr="00B35290">
        <w:rPr>
          <w:rFonts w:eastAsia="MS Mincho" w:cs="Arial"/>
          <w:b/>
          <w:sz w:val="32"/>
          <w:szCs w:val="32"/>
          <w:lang w:val="en-US"/>
        </w:rPr>
        <w:t>References</w:t>
      </w:r>
    </w:p>
    <w:p w14:paraId="253020FE" w14:textId="2DB1E5E5" w:rsidR="00426CA3" w:rsidRPr="004F6DA8" w:rsidRDefault="00426CA3" w:rsidP="00C06A37">
      <w:pPr>
        <w:numPr>
          <w:ilvl w:val="0"/>
          <w:numId w:val="2"/>
        </w:numPr>
        <w:jc w:val="both"/>
      </w:pPr>
      <w:bookmarkStart w:id="10" w:name="_Ref4682760"/>
      <w:bookmarkEnd w:id="0"/>
      <w:bookmarkEnd w:id="1"/>
      <w:r>
        <w:rPr>
          <w:bCs/>
          <w:lang w:eastAsia="zh-TW"/>
        </w:rPr>
        <w:t>R1-1903093, “Beam failure recovery for SCell”, Huawei</w:t>
      </w:r>
      <w:bookmarkEnd w:id="10"/>
    </w:p>
    <w:sectPr w:rsidR="00426CA3" w:rsidRPr="004F6DA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7CF00" w14:textId="77777777" w:rsidR="00CF4A73" w:rsidRDefault="00CF4A73">
      <w:r>
        <w:separator/>
      </w:r>
    </w:p>
  </w:endnote>
  <w:endnote w:type="continuationSeparator" w:id="0">
    <w:p w14:paraId="61A6809E" w14:textId="77777777" w:rsidR="00CF4A73" w:rsidRDefault="00CF4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ADBCC" w14:textId="77777777" w:rsidR="00311AB4" w:rsidRDefault="00311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13448" w14:textId="77777777" w:rsidR="00311AB4" w:rsidRDefault="00311A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EA7A6" w14:textId="77777777" w:rsidR="00311AB4" w:rsidRDefault="00311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83AFC" w14:textId="77777777" w:rsidR="00CF4A73" w:rsidRDefault="00CF4A73">
      <w:r>
        <w:separator/>
      </w:r>
    </w:p>
  </w:footnote>
  <w:footnote w:type="continuationSeparator" w:id="0">
    <w:p w14:paraId="2E85FA91" w14:textId="77777777" w:rsidR="00CF4A73" w:rsidRDefault="00CF4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98A94" w14:textId="77777777" w:rsidR="00311AB4" w:rsidRDefault="00311A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8EA2" w14:textId="77777777" w:rsidR="00311AB4" w:rsidRDefault="00311A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6805A" w14:textId="77777777" w:rsidR="00311AB4" w:rsidRDefault="00311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240E"/>
    <w:multiLevelType w:val="hybridMultilevel"/>
    <w:tmpl w:val="B1DCE078"/>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D6DA5"/>
    <w:multiLevelType w:val="hybridMultilevel"/>
    <w:tmpl w:val="2FD6706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1708D"/>
    <w:multiLevelType w:val="hybridMultilevel"/>
    <w:tmpl w:val="625E063A"/>
    <w:lvl w:ilvl="0" w:tplc="1DA49986">
      <w:start w:val="1"/>
      <w:numFmt w:val="bullet"/>
      <w:lvlText w:val="•"/>
      <w:lvlJc w:val="left"/>
      <w:pPr>
        <w:tabs>
          <w:tab w:val="num" w:pos="720"/>
        </w:tabs>
        <w:ind w:left="720" w:hanging="360"/>
      </w:pPr>
      <w:rPr>
        <w:rFonts w:ascii="Calibri Bold" w:hAnsi="Calibri Bold" w:hint="default"/>
      </w:rPr>
    </w:lvl>
    <w:lvl w:ilvl="1" w:tplc="12D036C8">
      <w:start w:val="1"/>
      <w:numFmt w:val="bullet"/>
      <w:lvlText w:val="•"/>
      <w:lvlJc w:val="left"/>
      <w:pPr>
        <w:tabs>
          <w:tab w:val="num" w:pos="1440"/>
        </w:tabs>
        <w:ind w:left="1440" w:hanging="360"/>
      </w:pPr>
      <w:rPr>
        <w:rFonts w:ascii="Calibri Bold" w:hAnsi="Calibri Bold"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18E2952"/>
    <w:multiLevelType w:val="hybridMultilevel"/>
    <w:tmpl w:val="AEB27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F6CF7"/>
    <w:multiLevelType w:val="hybridMultilevel"/>
    <w:tmpl w:val="3F168792"/>
    <w:lvl w:ilvl="0" w:tplc="AC968F4C">
      <w:start w:val="3"/>
      <w:numFmt w:val="bullet"/>
      <w:lvlText w:val="-"/>
      <w:lvlJc w:val="left"/>
      <w:pPr>
        <w:ind w:left="1212" w:hanging="360"/>
      </w:pPr>
      <w:rPr>
        <w:rFonts w:ascii="Times New Roman" w:eastAsia="Malgun Gothic" w:hAnsi="Times New Roman" w:cs="Times New Roman" w:hint="default"/>
      </w:rPr>
    </w:lvl>
    <w:lvl w:ilvl="1" w:tplc="0409000F">
      <w:start w:val="1"/>
      <w:numFmt w:val="decimal"/>
      <w:lvlText w:val="%2."/>
      <w:lvlJc w:val="left"/>
      <w:pPr>
        <w:ind w:left="1652" w:hanging="400"/>
      </w:pPr>
      <w:rPr>
        <w:rFonts w:hint="default"/>
      </w:rPr>
    </w:lvl>
    <w:lvl w:ilvl="2" w:tplc="08090003">
      <w:start w:val="1"/>
      <w:numFmt w:val="bullet"/>
      <w:lvlText w:val="o"/>
      <w:lvlJc w:val="left"/>
      <w:pPr>
        <w:ind w:left="2052" w:hanging="400"/>
      </w:pPr>
      <w:rPr>
        <w:rFonts w:ascii="Courier New" w:hAnsi="Courier New" w:cs="Courier New" w:hint="default"/>
      </w:rPr>
    </w:lvl>
    <w:lvl w:ilvl="3" w:tplc="AC968F4C">
      <w:start w:val="3"/>
      <w:numFmt w:val="bullet"/>
      <w:lvlText w:val="-"/>
      <w:lvlJc w:val="left"/>
      <w:pPr>
        <w:ind w:left="2452" w:hanging="400"/>
      </w:pPr>
      <w:rPr>
        <w:rFonts w:ascii="Times New Roman" w:eastAsia="Malgun Gothic" w:hAnsi="Times New Roman" w:cs="Times New Roman" w:hint="default"/>
      </w:rPr>
    </w:lvl>
    <w:lvl w:ilvl="4" w:tplc="04090003">
      <w:start w:val="1"/>
      <w:numFmt w:val="bullet"/>
      <w:lvlText w:val=""/>
      <w:lvlJc w:val="left"/>
      <w:pPr>
        <w:ind w:left="2852" w:hanging="400"/>
      </w:pPr>
      <w:rPr>
        <w:rFonts w:ascii="Wingdings" w:hAnsi="Wingdings" w:hint="default"/>
      </w:rPr>
    </w:lvl>
    <w:lvl w:ilvl="5" w:tplc="04090005">
      <w:start w:val="1"/>
      <w:numFmt w:val="bullet"/>
      <w:lvlText w:val=""/>
      <w:lvlJc w:val="left"/>
      <w:pPr>
        <w:ind w:left="3252" w:hanging="400"/>
      </w:pPr>
      <w:rPr>
        <w:rFonts w:ascii="Wingdings" w:hAnsi="Wingdings" w:hint="default"/>
      </w:rPr>
    </w:lvl>
    <w:lvl w:ilvl="6" w:tplc="04090001">
      <w:start w:val="1"/>
      <w:numFmt w:val="bullet"/>
      <w:lvlText w:val=""/>
      <w:lvlJc w:val="left"/>
      <w:pPr>
        <w:ind w:left="3652" w:hanging="400"/>
      </w:pPr>
      <w:rPr>
        <w:rFonts w:ascii="Wingdings" w:hAnsi="Wingdings" w:hint="default"/>
      </w:rPr>
    </w:lvl>
    <w:lvl w:ilvl="7" w:tplc="04090003">
      <w:start w:val="1"/>
      <w:numFmt w:val="bullet"/>
      <w:lvlText w:val=""/>
      <w:lvlJc w:val="left"/>
      <w:pPr>
        <w:ind w:left="4052" w:hanging="400"/>
      </w:pPr>
      <w:rPr>
        <w:rFonts w:ascii="Wingdings" w:hAnsi="Wingdings" w:hint="default"/>
      </w:rPr>
    </w:lvl>
    <w:lvl w:ilvl="8" w:tplc="04090005">
      <w:start w:val="1"/>
      <w:numFmt w:val="bullet"/>
      <w:lvlText w:val=""/>
      <w:lvlJc w:val="left"/>
      <w:pPr>
        <w:ind w:left="4452" w:hanging="400"/>
      </w:pPr>
      <w:rPr>
        <w:rFonts w:ascii="Wingdings" w:hAnsi="Wingdings" w:hint="default"/>
      </w:rPr>
    </w:lvl>
  </w:abstractNum>
  <w:abstractNum w:abstractNumId="9" w15:restartNumberingAfterBreak="0">
    <w:nsid w:val="18C73766"/>
    <w:multiLevelType w:val="hybridMultilevel"/>
    <w:tmpl w:val="D65AD83E"/>
    <w:lvl w:ilvl="0" w:tplc="65C4B01C">
      <w:start w:val="2"/>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0847FA"/>
    <w:multiLevelType w:val="hybridMultilevel"/>
    <w:tmpl w:val="0588A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BB6BC1"/>
    <w:multiLevelType w:val="hybridMultilevel"/>
    <w:tmpl w:val="6388D65C"/>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56155A"/>
    <w:multiLevelType w:val="hybridMultilevel"/>
    <w:tmpl w:val="CA247122"/>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6"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6978F3"/>
    <w:multiLevelType w:val="hybridMultilevel"/>
    <w:tmpl w:val="A73A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353F0D"/>
    <w:multiLevelType w:val="hybridMultilevel"/>
    <w:tmpl w:val="7494CD9A"/>
    <w:lvl w:ilvl="0" w:tplc="AC968F4C">
      <w:start w:val="3"/>
      <w:numFmt w:val="bullet"/>
      <w:lvlText w:val="-"/>
      <w:lvlJc w:val="left"/>
      <w:pPr>
        <w:ind w:left="1496" w:hanging="360"/>
      </w:pPr>
      <w:rPr>
        <w:rFonts w:ascii="Times New Roman" w:eastAsia="Malgun Gothic" w:hAnsi="Times New Roman" w:cs="Times New Roman" w:hint="default"/>
      </w:rPr>
    </w:lvl>
    <w:lvl w:ilvl="1" w:tplc="FFFFFFFF">
      <w:start w:val="1"/>
      <w:numFmt w:val="bullet"/>
      <w:lvlText w:val=""/>
      <w:lvlJc w:val="left"/>
      <w:pPr>
        <w:ind w:left="1936" w:hanging="400"/>
      </w:pPr>
      <w:rPr>
        <w:rFonts w:ascii="Symbol" w:hAnsi="Symbol" w:hint="default"/>
      </w:rPr>
    </w:lvl>
    <w:lvl w:ilvl="2" w:tplc="08090003">
      <w:start w:val="1"/>
      <w:numFmt w:val="bullet"/>
      <w:lvlText w:val="o"/>
      <w:lvlJc w:val="left"/>
      <w:pPr>
        <w:ind w:left="2336" w:hanging="400"/>
      </w:pPr>
      <w:rPr>
        <w:rFonts w:ascii="Courier New" w:hAnsi="Courier New" w:cs="Courier New" w:hint="default"/>
      </w:rPr>
    </w:lvl>
    <w:lvl w:ilvl="3" w:tplc="AC968F4C">
      <w:start w:val="3"/>
      <w:numFmt w:val="bullet"/>
      <w:lvlText w:val="-"/>
      <w:lvlJc w:val="left"/>
      <w:pPr>
        <w:ind w:left="2736" w:hanging="400"/>
      </w:pPr>
      <w:rPr>
        <w:rFonts w:ascii="Times New Roman" w:eastAsia="Malgun Gothic" w:hAnsi="Times New Roman" w:cs="Times New Roman" w:hint="default"/>
      </w:rPr>
    </w:lvl>
    <w:lvl w:ilvl="4" w:tplc="04090003">
      <w:start w:val="1"/>
      <w:numFmt w:val="bullet"/>
      <w:lvlText w:val=""/>
      <w:lvlJc w:val="left"/>
      <w:pPr>
        <w:ind w:left="3136" w:hanging="400"/>
      </w:pPr>
      <w:rPr>
        <w:rFonts w:ascii="Wingdings" w:hAnsi="Wingdings" w:hint="default"/>
      </w:rPr>
    </w:lvl>
    <w:lvl w:ilvl="5" w:tplc="04090005">
      <w:start w:val="1"/>
      <w:numFmt w:val="bullet"/>
      <w:lvlText w:val=""/>
      <w:lvlJc w:val="left"/>
      <w:pPr>
        <w:ind w:left="3536" w:hanging="400"/>
      </w:pPr>
      <w:rPr>
        <w:rFonts w:ascii="Wingdings" w:hAnsi="Wingdings" w:hint="default"/>
      </w:rPr>
    </w:lvl>
    <w:lvl w:ilvl="6" w:tplc="04090001">
      <w:start w:val="1"/>
      <w:numFmt w:val="bullet"/>
      <w:lvlText w:val=""/>
      <w:lvlJc w:val="left"/>
      <w:pPr>
        <w:ind w:left="3936" w:hanging="400"/>
      </w:pPr>
      <w:rPr>
        <w:rFonts w:ascii="Wingdings" w:hAnsi="Wingdings" w:hint="default"/>
      </w:rPr>
    </w:lvl>
    <w:lvl w:ilvl="7" w:tplc="04090003">
      <w:start w:val="1"/>
      <w:numFmt w:val="bullet"/>
      <w:lvlText w:val=""/>
      <w:lvlJc w:val="left"/>
      <w:pPr>
        <w:ind w:left="4336" w:hanging="400"/>
      </w:pPr>
      <w:rPr>
        <w:rFonts w:ascii="Wingdings" w:hAnsi="Wingdings" w:hint="default"/>
      </w:rPr>
    </w:lvl>
    <w:lvl w:ilvl="8" w:tplc="04090005">
      <w:start w:val="1"/>
      <w:numFmt w:val="bullet"/>
      <w:lvlText w:val=""/>
      <w:lvlJc w:val="left"/>
      <w:pPr>
        <w:ind w:left="4736" w:hanging="400"/>
      </w:pPr>
      <w:rPr>
        <w:rFonts w:ascii="Wingdings" w:hAnsi="Wingdings" w:hint="default"/>
      </w:rPr>
    </w:lvl>
  </w:abstractNum>
  <w:abstractNum w:abstractNumId="19"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2C353585"/>
    <w:multiLevelType w:val="hybridMultilevel"/>
    <w:tmpl w:val="B918825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D907CE"/>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3114041"/>
    <w:multiLevelType w:val="hybridMultilevel"/>
    <w:tmpl w:val="650ABF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7183D"/>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8"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346F3474"/>
    <w:multiLevelType w:val="hybridMultilevel"/>
    <w:tmpl w:val="1CA65174"/>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30"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A43C30"/>
    <w:multiLevelType w:val="hybridMultilevel"/>
    <w:tmpl w:val="58367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6D200A"/>
    <w:multiLevelType w:val="hybridMultilevel"/>
    <w:tmpl w:val="A802DD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F8109C8"/>
    <w:multiLevelType w:val="hybridMultilevel"/>
    <w:tmpl w:val="94061F12"/>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4413220"/>
    <w:multiLevelType w:val="hybridMultilevel"/>
    <w:tmpl w:val="8B8C1D9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45A03F8"/>
    <w:multiLevelType w:val="hybridMultilevel"/>
    <w:tmpl w:val="386CE7BE"/>
    <w:lvl w:ilvl="0" w:tplc="9356D3EE">
      <w:start w:val="3"/>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54A6E0F"/>
    <w:multiLevelType w:val="hybridMultilevel"/>
    <w:tmpl w:val="4AB46C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1DB1539"/>
    <w:multiLevelType w:val="hybridMultilevel"/>
    <w:tmpl w:val="A912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3301FB3"/>
    <w:multiLevelType w:val="hybridMultilevel"/>
    <w:tmpl w:val="2A32388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4020C04"/>
    <w:multiLevelType w:val="hybridMultilevel"/>
    <w:tmpl w:val="51C2DC12"/>
    <w:lvl w:ilvl="0" w:tplc="1DA49986">
      <w:start w:val="1"/>
      <w:numFmt w:val="bullet"/>
      <w:lvlText w:val="•"/>
      <w:lvlJc w:val="left"/>
      <w:pPr>
        <w:tabs>
          <w:tab w:val="num" w:pos="720"/>
        </w:tabs>
        <w:ind w:left="720" w:hanging="360"/>
      </w:pPr>
      <w:rPr>
        <w:rFonts w:ascii="Calibri Bold" w:hAnsi="Calibri Bold"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E5300">
      <w:start w:val="27"/>
      <w:numFmt w:val="bullet"/>
      <w:lvlText w:val=""/>
      <w:lvlJc w:val="left"/>
      <w:pPr>
        <w:tabs>
          <w:tab w:val="num" w:pos="2160"/>
        </w:tabs>
        <w:ind w:left="2160" w:hanging="360"/>
      </w:pPr>
      <w:rPr>
        <w:rFonts w:ascii="Wingdings" w:hAnsi="Wingdings" w:hint="default"/>
      </w:rPr>
    </w:lvl>
    <w:lvl w:ilvl="3" w:tplc="AAFAD182" w:tentative="1">
      <w:start w:val="1"/>
      <w:numFmt w:val="bullet"/>
      <w:lvlText w:val="•"/>
      <w:lvlJc w:val="left"/>
      <w:pPr>
        <w:tabs>
          <w:tab w:val="num" w:pos="2880"/>
        </w:tabs>
        <w:ind w:left="2880" w:hanging="360"/>
      </w:pPr>
      <w:rPr>
        <w:rFonts w:ascii="Calibri Bold" w:hAnsi="Calibri Bold" w:hint="default"/>
      </w:rPr>
    </w:lvl>
    <w:lvl w:ilvl="4" w:tplc="FF424ACE" w:tentative="1">
      <w:start w:val="1"/>
      <w:numFmt w:val="bullet"/>
      <w:lvlText w:val="•"/>
      <w:lvlJc w:val="left"/>
      <w:pPr>
        <w:tabs>
          <w:tab w:val="num" w:pos="3600"/>
        </w:tabs>
        <w:ind w:left="3600" w:hanging="360"/>
      </w:pPr>
      <w:rPr>
        <w:rFonts w:ascii="Calibri Bold" w:hAnsi="Calibri Bold" w:hint="default"/>
      </w:rPr>
    </w:lvl>
    <w:lvl w:ilvl="5" w:tplc="13C48A62" w:tentative="1">
      <w:start w:val="1"/>
      <w:numFmt w:val="bullet"/>
      <w:lvlText w:val="•"/>
      <w:lvlJc w:val="left"/>
      <w:pPr>
        <w:tabs>
          <w:tab w:val="num" w:pos="4320"/>
        </w:tabs>
        <w:ind w:left="4320" w:hanging="360"/>
      </w:pPr>
      <w:rPr>
        <w:rFonts w:ascii="Calibri Bold" w:hAnsi="Calibri Bold" w:hint="default"/>
      </w:rPr>
    </w:lvl>
    <w:lvl w:ilvl="6" w:tplc="7110D8CA" w:tentative="1">
      <w:start w:val="1"/>
      <w:numFmt w:val="bullet"/>
      <w:lvlText w:val="•"/>
      <w:lvlJc w:val="left"/>
      <w:pPr>
        <w:tabs>
          <w:tab w:val="num" w:pos="5040"/>
        </w:tabs>
        <w:ind w:left="5040" w:hanging="360"/>
      </w:pPr>
      <w:rPr>
        <w:rFonts w:ascii="Calibri Bold" w:hAnsi="Calibri Bold" w:hint="default"/>
      </w:rPr>
    </w:lvl>
    <w:lvl w:ilvl="7" w:tplc="678E0D52" w:tentative="1">
      <w:start w:val="1"/>
      <w:numFmt w:val="bullet"/>
      <w:lvlText w:val="•"/>
      <w:lvlJc w:val="left"/>
      <w:pPr>
        <w:tabs>
          <w:tab w:val="num" w:pos="5760"/>
        </w:tabs>
        <w:ind w:left="5760" w:hanging="360"/>
      </w:pPr>
      <w:rPr>
        <w:rFonts w:ascii="Calibri Bold" w:hAnsi="Calibri Bold" w:hint="default"/>
      </w:rPr>
    </w:lvl>
    <w:lvl w:ilvl="8" w:tplc="4670C266" w:tentative="1">
      <w:start w:val="1"/>
      <w:numFmt w:val="bullet"/>
      <w:lvlText w:val="•"/>
      <w:lvlJc w:val="left"/>
      <w:pPr>
        <w:tabs>
          <w:tab w:val="num" w:pos="6480"/>
        </w:tabs>
        <w:ind w:left="6480" w:hanging="360"/>
      </w:pPr>
      <w:rPr>
        <w:rFonts w:ascii="Calibri Bold" w:hAnsi="Calibri Bold" w:hint="default"/>
      </w:rPr>
    </w:lvl>
  </w:abstractNum>
  <w:abstractNum w:abstractNumId="49"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1"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A913915"/>
    <w:multiLevelType w:val="multilevel"/>
    <w:tmpl w:val="9C18C82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4"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EF40DDF"/>
    <w:multiLevelType w:val="hybridMultilevel"/>
    <w:tmpl w:val="9A122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854CC0"/>
    <w:multiLevelType w:val="hybridMultilevel"/>
    <w:tmpl w:val="50F40326"/>
    <w:lvl w:ilvl="0" w:tplc="940C3B42">
      <w:start w:val="1"/>
      <w:numFmt w:val="decimal"/>
      <w:lvlText w:val="3.%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231169"/>
    <w:multiLevelType w:val="hybridMultilevel"/>
    <w:tmpl w:val="BB761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8" w:hanging="360"/>
      </w:pPr>
      <w:rPr>
        <w:rFonts w:ascii="Courier New" w:hAnsi="Courier New" w:cs="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cs="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cs="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62"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6C6121F"/>
    <w:multiLevelType w:val="hybridMultilevel"/>
    <w:tmpl w:val="600AEBEE"/>
    <w:lvl w:ilvl="0" w:tplc="D6D8A6AC">
      <w:start w:val="1"/>
      <w:numFmt w:val="decimal"/>
      <w:lvlText w:val="2.%1."/>
      <w:lvlJc w:val="left"/>
      <w:pPr>
        <w:ind w:left="720" w:hanging="7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A9052FA"/>
    <w:multiLevelType w:val="hybridMultilevel"/>
    <w:tmpl w:val="256E3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F9917A5"/>
    <w:multiLevelType w:val="hybridMultilevel"/>
    <w:tmpl w:val="871CB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8568B7"/>
    <w:multiLevelType w:val="hybridMultilevel"/>
    <w:tmpl w:val="0C0A3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13A020E"/>
    <w:multiLevelType w:val="hybridMultilevel"/>
    <w:tmpl w:val="C318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48C7942"/>
    <w:multiLevelType w:val="hybridMultilevel"/>
    <w:tmpl w:val="7FB0EBEE"/>
    <w:lvl w:ilvl="0" w:tplc="04090001">
      <w:start w:val="1"/>
      <w:numFmt w:val="bullet"/>
      <w:lvlText w:val=""/>
      <w:lvlJc w:val="left"/>
      <w:pPr>
        <w:ind w:left="720" w:hanging="360"/>
      </w:pPr>
      <w:rPr>
        <w:rFonts w:ascii="Symbol" w:hAnsi="Symbol" w:hint="default"/>
      </w:rPr>
    </w:lvl>
    <w:lvl w:ilvl="1" w:tplc="65C4B01C">
      <w:start w:val="2"/>
      <w:numFmt w:val="bullet"/>
      <w:lvlText w:val="-"/>
      <w:lvlJc w:val="left"/>
      <w:pPr>
        <w:ind w:left="1440" w:hanging="360"/>
      </w:pPr>
      <w:rPr>
        <w:rFonts w:ascii="Times New Roman" w:eastAsia="SimSun" w:hAnsi="Times New Roman" w:cs="Times New Roman" w:hint="default"/>
        <w:lang w:val="en-US"/>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F9014F"/>
    <w:multiLevelType w:val="hybridMultilevel"/>
    <w:tmpl w:val="8EF84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 w15:restartNumberingAfterBreak="0">
    <w:nsid w:val="7954685D"/>
    <w:multiLevelType w:val="hybridMultilevel"/>
    <w:tmpl w:val="9286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A026D00"/>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BED18BC"/>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78"/>
  </w:num>
  <w:num w:numId="2">
    <w:abstractNumId w:val="20"/>
  </w:num>
  <w:num w:numId="3">
    <w:abstractNumId w:val="70"/>
  </w:num>
  <w:num w:numId="4">
    <w:abstractNumId w:val="59"/>
  </w:num>
  <w:num w:numId="5">
    <w:abstractNumId w:val="4"/>
  </w:num>
  <w:num w:numId="6">
    <w:abstractNumId w:val="1"/>
  </w:num>
  <w:num w:numId="7">
    <w:abstractNumId w:val="63"/>
  </w:num>
  <w:num w:numId="8">
    <w:abstractNumId w:val="44"/>
  </w:num>
  <w:num w:numId="9">
    <w:abstractNumId w:val="5"/>
  </w:num>
  <w:num w:numId="10">
    <w:abstractNumId w:val="47"/>
  </w:num>
  <w:num w:numId="11">
    <w:abstractNumId w:val="60"/>
  </w:num>
  <w:num w:numId="12">
    <w:abstractNumId w:val="41"/>
  </w:num>
  <w:num w:numId="13">
    <w:abstractNumId w:val="9"/>
  </w:num>
  <w:num w:numId="14">
    <w:abstractNumId w:val="18"/>
  </w:num>
  <w:num w:numId="15">
    <w:abstractNumId w:val="26"/>
  </w:num>
  <w:num w:numId="16">
    <w:abstractNumId w:val="6"/>
  </w:num>
  <w:num w:numId="17">
    <w:abstractNumId w:val="7"/>
  </w:num>
  <w:num w:numId="18">
    <w:abstractNumId w:val="27"/>
  </w:num>
  <w:num w:numId="19">
    <w:abstractNumId w:val="53"/>
  </w:num>
  <w:num w:numId="20">
    <w:abstractNumId w:val="14"/>
  </w:num>
  <w:num w:numId="21">
    <w:abstractNumId w:val="30"/>
  </w:num>
  <w:num w:numId="22">
    <w:abstractNumId w:val="3"/>
  </w:num>
  <w:num w:numId="23">
    <w:abstractNumId w:val="17"/>
  </w:num>
  <w:num w:numId="24">
    <w:abstractNumId w:val="49"/>
  </w:num>
  <w:num w:numId="25">
    <w:abstractNumId w:val="21"/>
  </w:num>
  <w:num w:numId="26">
    <w:abstractNumId w:val="13"/>
  </w:num>
  <w:num w:numId="27">
    <w:abstractNumId w:val="33"/>
  </w:num>
  <w:num w:numId="28">
    <w:abstractNumId w:val="34"/>
  </w:num>
  <w:num w:numId="29">
    <w:abstractNumId w:val="48"/>
  </w:num>
  <w:num w:numId="30">
    <w:abstractNumId w:val="0"/>
  </w:num>
  <w:num w:numId="31">
    <w:abstractNumId w:val="32"/>
  </w:num>
  <w:num w:numId="32">
    <w:abstractNumId w:val="54"/>
  </w:num>
  <w:num w:numId="33">
    <w:abstractNumId w:val="71"/>
  </w:num>
  <w:num w:numId="34">
    <w:abstractNumId w:val="8"/>
  </w:num>
  <w:num w:numId="35">
    <w:abstractNumId w:val="36"/>
  </w:num>
  <w:num w:numId="36">
    <w:abstractNumId w:val="57"/>
  </w:num>
  <w:num w:numId="37">
    <w:abstractNumId w:val="43"/>
  </w:num>
  <w:num w:numId="38">
    <w:abstractNumId w:val="29"/>
  </w:num>
  <w:num w:numId="39">
    <w:abstractNumId w:val="61"/>
  </w:num>
  <w:num w:numId="40">
    <w:abstractNumId w:val="2"/>
  </w:num>
  <w:num w:numId="41">
    <w:abstractNumId w:val="11"/>
  </w:num>
  <w:num w:numId="42">
    <w:abstractNumId w:val="55"/>
  </w:num>
  <w:num w:numId="43">
    <w:abstractNumId w:val="68"/>
  </w:num>
  <w:num w:numId="44">
    <w:abstractNumId w:val="73"/>
  </w:num>
  <w:num w:numId="45">
    <w:abstractNumId w:val="24"/>
  </w:num>
  <w:num w:numId="46">
    <w:abstractNumId w:val="50"/>
  </w:num>
  <w:num w:numId="47">
    <w:abstractNumId w:val="28"/>
  </w:num>
  <w:num w:numId="48">
    <w:abstractNumId w:val="75"/>
  </w:num>
  <w:num w:numId="49">
    <w:abstractNumId w:val="22"/>
  </w:num>
  <w:num w:numId="50">
    <w:abstractNumId w:val="74"/>
  </w:num>
  <w:num w:numId="51">
    <w:abstractNumId w:val="69"/>
  </w:num>
  <w:num w:numId="52">
    <w:abstractNumId w:val="72"/>
  </w:num>
  <w:num w:numId="53">
    <w:abstractNumId w:val="25"/>
  </w:num>
  <w:num w:numId="54">
    <w:abstractNumId w:val="77"/>
  </w:num>
  <w:num w:numId="55">
    <w:abstractNumId w:val="15"/>
  </w:num>
  <w:num w:numId="56">
    <w:abstractNumId w:val="23"/>
  </w:num>
  <w:num w:numId="57">
    <w:abstractNumId w:val="40"/>
  </w:num>
  <w:num w:numId="58">
    <w:abstractNumId w:val="12"/>
  </w:num>
  <w:num w:numId="59">
    <w:abstractNumId w:val="65"/>
  </w:num>
  <w:num w:numId="60">
    <w:abstractNumId w:val="31"/>
  </w:num>
  <w:num w:numId="61">
    <w:abstractNumId w:val="52"/>
  </w:num>
  <w:num w:numId="62">
    <w:abstractNumId w:val="76"/>
  </w:num>
  <w:num w:numId="63">
    <w:abstractNumId w:val="79"/>
  </w:num>
  <w:num w:numId="64">
    <w:abstractNumId w:val="16"/>
  </w:num>
  <w:num w:numId="65">
    <w:abstractNumId w:val="66"/>
  </w:num>
  <w:num w:numId="66">
    <w:abstractNumId w:val="19"/>
  </w:num>
  <w:num w:numId="67">
    <w:abstractNumId w:val="38"/>
  </w:num>
  <w:num w:numId="68">
    <w:abstractNumId w:val="37"/>
  </w:num>
  <w:num w:numId="69">
    <w:abstractNumId w:val="45"/>
  </w:num>
  <w:num w:numId="70">
    <w:abstractNumId w:val="62"/>
  </w:num>
  <w:num w:numId="71">
    <w:abstractNumId w:val="67"/>
  </w:num>
  <w:num w:numId="72">
    <w:abstractNumId w:val="42"/>
  </w:num>
  <w:num w:numId="73">
    <w:abstractNumId w:val="39"/>
  </w:num>
  <w:num w:numId="74">
    <w:abstractNumId w:val="56"/>
  </w:num>
  <w:num w:numId="75">
    <w:abstractNumId w:val="51"/>
  </w:num>
  <w:num w:numId="76">
    <w:abstractNumId w:val="58"/>
  </w:num>
  <w:num w:numId="77">
    <w:abstractNumId w:val="64"/>
  </w:num>
  <w:num w:numId="78">
    <w:abstractNumId w:val="46"/>
  </w:num>
  <w:num w:numId="79">
    <w:abstractNumId w:val="10"/>
  </w:num>
  <w:num w:numId="80">
    <w:abstractNumId w:val="3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4B5C"/>
    <w:rsid w:val="00005184"/>
    <w:rsid w:val="0000797A"/>
    <w:rsid w:val="000100EA"/>
    <w:rsid w:val="00011AF9"/>
    <w:rsid w:val="00015FE8"/>
    <w:rsid w:val="000174A7"/>
    <w:rsid w:val="000202C6"/>
    <w:rsid w:val="0002063D"/>
    <w:rsid w:val="00020ADF"/>
    <w:rsid w:val="00020C94"/>
    <w:rsid w:val="00020E0A"/>
    <w:rsid w:val="00020F7C"/>
    <w:rsid w:val="0002187E"/>
    <w:rsid w:val="0002191D"/>
    <w:rsid w:val="000236A6"/>
    <w:rsid w:val="000236DE"/>
    <w:rsid w:val="00023821"/>
    <w:rsid w:val="000257C8"/>
    <w:rsid w:val="000266A0"/>
    <w:rsid w:val="00026F21"/>
    <w:rsid w:val="0003089D"/>
    <w:rsid w:val="00031AC9"/>
    <w:rsid w:val="00031C1D"/>
    <w:rsid w:val="00032C88"/>
    <w:rsid w:val="00032F6B"/>
    <w:rsid w:val="00035AA7"/>
    <w:rsid w:val="00036300"/>
    <w:rsid w:val="0004069A"/>
    <w:rsid w:val="00040FA9"/>
    <w:rsid w:val="00041C77"/>
    <w:rsid w:val="000421DA"/>
    <w:rsid w:val="000422DB"/>
    <w:rsid w:val="00043A2D"/>
    <w:rsid w:val="00044552"/>
    <w:rsid w:val="0004529B"/>
    <w:rsid w:val="0004557C"/>
    <w:rsid w:val="0004559E"/>
    <w:rsid w:val="000476AD"/>
    <w:rsid w:val="000476B2"/>
    <w:rsid w:val="00047DA2"/>
    <w:rsid w:val="00047DB7"/>
    <w:rsid w:val="000513B2"/>
    <w:rsid w:val="000513D0"/>
    <w:rsid w:val="00051E97"/>
    <w:rsid w:val="00051F82"/>
    <w:rsid w:val="00053C5F"/>
    <w:rsid w:val="000542ED"/>
    <w:rsid w:val="00054424"/>
    <w:rsid w:val="00057AD8"/>
    <w:rsid w:val="00057BA5"/>
    <w:rsid w:val="00061A8C"/>
    <w:rsid w:val="0006429E"/>
    <w:rsid w:val="00065840"/>
    <w:rsid w:val="00065F28"/>
    <w:rsid w:val="00066C90"/>
    <w:rsid w:val="000673E1"/>
    <w:rsid w:val="00072748"/>
    <w:rsid w:val="00072CB2"/>
    <w:rsid w:val="00072F1D"/>
    <w:rsid w:val="00074087"/>
    <w:rsid w:val="00074573"/>
    <w:rsid w:val="0007597B"/>
    <w:rsid w:val="000808F0"/>
    <w:rsid w:val="00082160"/>
    <w:rsid w:val="000822CC"/>
    <w:rsid w:val="000833D5"/>
    <w:rsid w:val="000837A9"/>
    <w:rsid w:val="00085C1A"/>
    <w:rsid w:val="00086802"/>
    <w:rsid w:val="0008693B"/>
    <w:rsid w:val="0008738E"/>
    <w:rsid w:val="00090277"/>
    <w:rsid w:val="00090AC8"/>
    <w:rsid w:val="000913F1"/>
    <w:rsid w:val="00092BA6"/>
    <w:rsid w:val="00092BA8"/>
    <w:rsid w:val="00093E7E"/>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204"/>
    <w:rsid w:val="000B50F4"/>
    <w:rsid w:val="000B586A"/>
    <w:rsid w:val="000B608B"/>
    <w:rsid w:val="000B6236"/>
    <w:rsid w:val="000B6DFE"/>
    <w:rsid w:val="000C0119"/>
    <w:rsid w:val="000C0C61"/>
    <w:rsid w:val="000C1AC6"/>
    <w:rsid w:val="000C2298"/>
    <w:rsid w:val="000C2B82"/>
    <w:rsid w:val="000C3B67"/>
    <w:rsid w:val="000C4262"/>
    <w:rsid w:val="000C5824"/>
    <w:rsid w:val="000C64B8"/>
    <w:rsid w:val="000C7C70"/>
    <w:rsid w:val="000D0176"/>
    <w:rsid w:val="000D02DC"/>
    <w:rsid w:val="000D06B4"/>
    <w:rsid w:val="000D09A1"/>
    <w:rsid w:val="000D4C0A"/>
    <w:rsid w:val="000D57E7"/>
    <w:rsid w:val="000D6CFC"/>
    <w:rsid w:val="000D7671"/>
    <w:rsid w:val="000E1A38"/>
    <w:rsid w:val="000E1D47"/>
    <w:rsid w:val="000E3CC4"/>
    <w:rsid w:val="000E69EA"/>
    <w:rsid w:val="000E7047"/>
    <w:rsid w:val="000E7761"/>
    <w:rsid w:val="000F0C9C"/>
    <w:rsid w:val="000F131A"/>
    <w:rsid w:val="000F230F"/>
    <w:rsid w:val="000F2AF9"/>
    <w:rsid w:val="000F311E"/>
    <w:rsid w:val="000F3D0E"/>
    <w:rsid w:val="000F51E2"/>
    <w:rsid w:val="000F5257"/>
    <w:rsid w:val="000F5F26"/>
    <w:rsid w:val="000F777B"/>
    <w:rsid w:val="000F79D4"/>
    <w:rsid w:val="000F7C77"/>
    <w:rsid w:val="000F7EFE"/>
    <w:rsid w:val="00100857"/>
    <w:rsid w:val="00101012"/>
    <w:rsid w:val="0010125D"/>
    <w:rsid w:val="001012D3"/>
    <w:rsid w:val="001013C6"/>
    <w:rsid w:val="00105154"/>
    <w:rsid w:val="00105555"/>
    <w:rsid w:val="00106E12"/>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30ED8"/>
    <w:rsid w:val="00131B63"/>
    <w:rsid w:val="00132A1B"/>
    <w:rsid w:val="0013417F"/>
    <w:rsid w:val="001343AF"/>
    <w:rsid w:val="001352C6"/>
    <w:rsid w:val="00135703"/>
    <w:rsid w:val="00137B0F"/>
    <w:rsid w:val="0014010C"/>
    <w:rsid w:val="00141D07"/>
    <w:rsid w:val="001435BA"/>
    <w:rsid w:val="00143961"/>
    <w:rsid w:val="00144B7E"/>
    <w:rsid w:val="00145DEE"/>
    <w:rsid w:val="001462C1"/>
    <w:rsid w:val="00146D7C"/>
    <w:rsid w:val="001505FA"/>
    <w:rsid w:val="00150891"/>
    <w:rsid w:val="00150FA5"/>
    <w:rsid w:val="00152EF4"/>
    <w:rsid w:val="00153528"/>
    <w:rsid w:val="00156BE2"/>
    <w:rsid w:val="0015762C"/>
    <w:rsid w:val="00157BB4"/>
    <w:rsid w:val="0016145A"/>
    <w:rsid w:val="001622CB"/>
    <w:rsid w:val="00162365"/>
    <w:rsid w:val="0016325C"/>
    <w:rsid w:val="001642A0"/>
    <w:rsid w:val="0016596F"/>
    <w:rsid w:val="0016654B"/>
    <w:rsid w:val="0017055F"/>
    <w:rsid w:val="001721DB"/>
    <w:rsid w:val="00172DF2"/>
    <w:rsid w:val="001736D7"/>
    <w:rsid w:val="00173A55"/>
    <w:rsid w:val="00174F1A"/>
    <w:rsid w:val="0017598B"/>
    <w:rsid w:val="00176CAF"/>
    <w:rsid w:val="0017713C"/>
    <w:rsid w:val="00177CEB"/>
    <w:rsid w:val="00177DC6"/>
    <w:rsid w:val="001801C6"/>
    <w:rsid w:val="00181672"/>
    <w:rsid w:val="00182596"/>
    <w:rsid w:val="001825D6"/>
    <w:rsid w:val="00182B63"/>
    <w:rsid w:val="00183297"/>
    <w:rsid w:val="00183A9C"/>
    <w:rsid w:val="001842CE"/>
    <w:rsid w:val="001876FC"/>
    <w:rsid w:val="00191AD9"/>
    <w:rsid w:val="00192163"/>
    <w:rsid w:val="00193650"/>
    <w:rsid w:val="00193D85"/>
    <w:rsid w:val="00194FCC"/>
    <w:rsid w:val="00195925"/>
    <w:rsid w:val="001968B4"/>
    <w:rsid w:val="0019768C"/>
    <w:rsid w:val="001A08AA"/>
    <w:rsid w:val="001A0BB8"/>
    <w:rsid w:val="001A2025"/>
    <w:rsid w:val="001A2850"/>
    <w:rsid w:val="001A32ED"/>
    <w:rsid w:val="001A3B72"/>
    <w:rsid w:val="001A4E34"/>
    <w:rsid w:val="001A5826"/>
    <w:rsid w:val="001A5BFD"/>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72E5"/>
    <w:rsid w:val="001E0941"/>
    <w:rsid w:val="001E1749"/>
    <w:rsid w:val="001E1786"/>
    <w:rsid w:val="001E23FE"/>
    <w:rsid w:val="001E3B39"/>
    <w:rsid w:val="001E4210"/>
    <w:rsid w:val="001E460A"/>
    <w:rsid w:val="001F0044"/>
    <w:rsid w:val="001F04BE"/>
    <w:rsid w:val="001F14D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641B"/>
    <w:rsid w:val="00207234"/>
    <w:rsid w:val="002072A9"/>
    <w:rsid w:val="00207BC3"/>
    <w:rsid w:val="002100F0"/>
    <w:rsid w:val="0021141F"/>
    <w:rsid w:val="00211C4A"/>
    <w:rsid w:val="00212373"/>
    <w:rsid w:val="002135E1"/>
    <w:rsid w:val="002138EA"/>
    <w:rsid w:val="00213CE2"/>
    <w:rsid w:val="002143B4"/>
    <w:rsid w:val="00214FBD"/>
    <w:rsid w:val="00215A41"/>
    <w:rsid w:val="0021658A"/>
    <w:rsid w:val="00216D2C"/>
    <w:rsid w:val="00221DE2"/>
    <w:rsid w:val="002223A7"/>
    <w:rsid w:val="00222897"/>
    <w:rsid w:val="002238B3"/>
    <w:rsid w:val="00223FD4"/>
    <w:rsid w:val="00224B42"/>
    <w:rsid w:val="0022517F"/>
    <w:rsid w:val="00225844"/>
    <w:rsid w:val="002308EA"/>
    <w:rsid w:val="0023155E"/>
    <w:rsid w:val="00232669"/>
    <w:rsid w:val="002334FB"/>
    <w:rsid w:val="00233B5D"/>
    <w:rsid w:val="00235394"/>
    <w:rsid w:val="00235A9B"/>
    <w:rsid w:val="00237DB8"/>
    <w:rsid w:val="00241D4B"/>
    <w:rsid w:val="0024337A"/>
    <w:rsid w:val="00243646"/>
    <w:rsid w:val="00243EDB"/>
    <w:rsid w:val="00245D28"/>
    <w:rsid w:val="00250090"/>
    <w:rsid w:val="002508A2"/>
    <w:rsid w:val="00251400"/>
    <w:rsid w:val="002519D3"/>
    <w:rsid w:val="0025215B"/>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416"/>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EE1"/>
    <w:rsid w:val="00285744"/>
    <w:rsid w:val="00285979"/>
    <w:rsid w:val="0028673D"/>
    <w:rsid w:val="00287935"/>
    <w:rsid w:val="00287D57"/>
    <w:rsid w:val="00291349"/>
    <w:rsid w:val="0029193E"/>
    <w:rsid w:val="00292870"/>
    <w:rsid w:val="0029323E"/>
    <w:rsid w:val="00293D4A"/>
    <w:rsid w:val="0029436D"/>
    <w:rsid w:val="00294AA9"/>
    <w:rsid w:val="002973C1"/>
    <w:rsid w:val="002975B0"/>
    <w:rsid w:val="00297A3F"/>
    <w:rsid w:val="00297D09"/>
    <w:rsid w:val="00297DCD"/>
    <w:rsid w:val="002A21B0"/>
    <w:rsid w:val="002A24D4"/>
    <w:rsid w:val="002A49F5"/>
    <w:rsid w:val="002A550E"/>
    <w:rsid w:val="002A5BA3"/>
    <w:rsid w:val="002A64FA"/>
    <w:rsid w:val="002A6B5E"/>
    <w:rsid w:val="002A6FE9"/>
    <w:rsid w:val="002A73DA"/>
    <w:rsid w:val="002A7966"/>
    <w:rsid w:val="002B0D4B"/>
    <w:rsid w:val="002B31D8"/>
    <w:rsid w:val="002B322F"/>
    <w:rsid w:val="002B3523"/>
    <w:rsid w:val="002B4231"/>
    <w:rsid w:val="002B429C"/>
    <w:rsid w:val="002B583D"/>
    <w:rsid w:val="002B6CEF"/>
    <w:rsid w:val="002C080E"/>
    <w:rsid w:val="002C3773"/>
    <w:rsid w:val="002C3BFD"/>
    <w:rsid w:val="002C3F4C"/>
    <w:rsid w:val="002C42DC"/>
    <w:rsid w:val="002C45D2"/>
    <w:rsid w:val="002D06F5"/>
    <w:rsid w:val="002D087D"/>
    <w:rsid w:val="002D0A18"/>
    <w:rsid w:val="002D0CB8"/>
    <w:rsid w:val="002D16C7"/>
    <w:rsid w:val="002D1BDA"/>
    <w:rsid w:val="002D2DB3"/>
    <w:rsid w:val="002D4BB4"/>
    <w:rsid w:val="002D50CE"/>
    <w:rsid w:val="002D58F4"/>
    <w:rsid w:val="002D5A18"/>
    <w:rsid w:val="002D7191"/>
    <w:rsid w:val="002D758E"/>
    <w:rsid w:val="002D7C81"/>
    <w:rsid w:val="002E086B"/>
    <w:rsid w:val="002E0B58"/>
    <w:rsid w:val="002E324D"/>
    <w:rsid w:val="002E348D"/>
    <w:rsid w:val="002E3D8C"/>
    <w:rsid w:val="002E5799"/>
    <w:rsid w:val="002E5C02"/>
    <w:rsid w:val="002E644B"/>
    <w:rsid w:val="002E74A0"/>
    <w:rsid w:val="002E7A52"/>
    <w:rsid w:val="002F06F4"/>
    <w:rsid w:val="002F3FC8"/>
    <w:rsid w:val="002F4093"/>
    <w:rsid w:val="002F40CC"/>
    <w:rsid w:val="002F40F2"/>
    <w:rsid w:val="002F4510"/>
    <w:rsid w:val="002F6309"/>
    <w:rsid w:val="002F63F6"/>
    <w:rsid w:val="002F6A1A"/>
    <w:rsid w:val="002F7537"/>
    <w:rsid w:val="002F7B20"/>
    <w:rsid w:val="00301E2D"/>
    <w:rsid w:val="003024F5"/>
    <w:rsid w:val="003033E6"/>
    <w:rsid w:val="00303A00"/>
    <w:rsid w:val="00306382"/>
    <w:rsid w:val="003065E0"/>
    <w:rsid w:val="00306AF7"/>
    <w:rsid w:val="00306B48"/>
    <w:rsid w:val="00307D21"/>
    <w:rsid w:val="00311037"/>
    <w:rsid w:val="00311AB4"/>
    <w:rsid w:val="0031257C"/>
    <w:rsid w:val="00313535"/>
    <w:rsid w:val="0031362C"/>
    <w:rsid w:val="003141ED"/>
    <w:rsid w:val="00316814"/>
    <w:rsid w:val="00320CE3"/>
    <w:rsid w:val="00320D41"/>
    <w:rsid w:val="003210CC"/>
    <w:rsid w:val="003212DA"/>
    <w:rsid w:val="00321A7F"/>
    <w:rsid w:val="00326258"/>
    <w:rsid w:val="00327741"/>
    <w:rsid w:val="00327F64"/>
    <w:rsid w:val="00331F8D"/>
    <w:rsid w:val="00332C25"/>
    <w:rsid w:val="003366B3"/>
    <w:rsid w:val="00337BA4"/>
    <w:rsid w:val="00337F57"/>
    <w:rsid w:val="00340216"/>
    <w:rsid w:val="003411C2"/>
    <w:rsid w:val="003426E8"/>
    <w:rsid w:val="0034354B"/>
    <w:rsid w:val="00343B5E"/>
    <w:rsid w:val="0034402C"/>
    <w:rsid w:val="00344071"/>
    <w:rsid w:val="003463F0"/>
    <w:rsid w:val="0034698B"/>
    <w:rsid w:val="00350BFC"/>
    <w:rsid w:val="003525CA"/>
    <w:rsid w:val="003539BD"/>
    <w:rsid w:val="0035426C"/>
    <w:rsid w:val="00355110"/>
    <w:rsid w:val="00357795"/>
    <w:rsid w:val="00360B1F"/>
    <w:rsid w:val="00362426"/>
    <w:rsid w:val="00363BE0"/>
    <w:rsid w:val="00364712"/>
    <w:rsid w:val="00364CFD"/>
    <w:rsid w:val="003654E0"/>
    <w:rsid w:val="00367724"/>
    <w:rsid w:val="00367736"/>
    <w:rsid w:val="003679F0"/>
    <w:rsid w:val="00372587"/>
    <w:rsid w:val="003739D3"/>
    <w:rsid w:val="00374423"/>
    <w:rsid w:val="003777B1"/>
    <w:rsid w:val="00377B78"/>
    <w:rsid w:val="003807CD"/>
    <w:rsid w:val="003817F3"/>
    <w:rsid w:val="00383083"/>
    <w:rsid w:val="003834BC"/>
    <w:rsid w:val="003845DB"/>
    <w:rsid w:val="00384CB9"/>
    <w:rsid w:val="00385918"/>
    <w:rsid w:val="00386545"/>
    <w:rsid w:val="003879B3"/>
    <w:rsid w:val="00390087"/>
    <w:rsid w:val="003900A0"/>
    <w:rsid w:val="0039033D"/>
    <w:rsid w:val="00390DAC"/>
    <w:rsid w:val="00391098"/>
    <w:rsid w:val="00392824"/>
    <w:rsid w:val="0039507B"/>
    <w:rsid w:val="00395141"/>
    <w:rsid w:val="003953A4"/>
    <w:rsid w:val="00396CFC"/>
    <w:rsid w:val="003978CE"/>
    <w:rsid w:val="00397C1F"/>
    <w:rsid w:val="003A01BB"/>
    <w:rsid w:val="003A1D4E"/>
    <w:rsid w:val="003A1DEE"/>
    <w:rsid w:val="003A1FDE"/>
    <w:rsid w:val="003A3645"/>
    <w:rsid w:val="003A3A79"/>
    <w:rsid w:val="003A3E86"/>
    <w:rsid w:val="003A5039"/>
    <w:rsid w:val="003A57DD"/>
    <w:rsid w:val="003A5980"/>
    <w:rsid w:val="003A5ED3"/>
    <w:rsid w:val="003A5FA4"/>
    <w:rsid w:val="003A6AAC"/>
    <w:rsid w:val="003A75FA"/>
    <w:rsid w:val="003B01B7"/>
    <w:rsid w:val="003B1CD7"/>
    <w:rsid w:val="003B1F59"/>
    <w:rsid w:val="003B25A7"/>
    <w:rsid w:val="003B2DD2"/>
    <w:rsid w:val="003B42D1"/>
    <w:rsid w:val="003B51B7"/>
    <w:rsid w:val="003B57EF"/>
    <w:rsid w:val="003B619A"/>
    <w:rsid w:val="003B6AB1"/>
    <w:rsid w:val="003B70DF"/>
    <w:rsid w:val="003C00AB"/>
    <w:rsid w:val="003C011E"/>
    <w:rsid w:val="003C05CB"/>
    <w:rsid w:val="003C1EBA"/>
    <w:rsid w:val="003C245B"/>
    <w:rsid w:val="003C24A7"/>
    <w:rsid w:val="003C2562"/>
    <w:rsid w:val="003C2DC1"/>
    <w:rsid w:val="003C3358"/>
    <w:rsid w:val="003C5993"/>
    <w:rsid w:val="003C612F"/>
    <w:rsid w:val="003C7014"/>
    <w:rsid w:val="003D0233"/>
    <w:rsid w:val="003D0E75"/>
    <w:rsid w:val="003D1917"/>
    <w:rsid w:val="003D1F24"/>
    <w:rsid w:val="003D38D4"/>
    <w:rsid w:val="003D58E5"/>
    <w:rsid w:val="003D7308"/>
    <w:rsid w:val="003D7F2E"/>
    <w:rsid w:val="003E05F6"/>
    <w:rsid w:val="003E0E49"/>
    <w:rsid w:val="003E15E1"/>
    <w:rsid w:val="003E4D34"/>
    <w:rsid w:val="003F04F5"/>
    <w:rsid w:val="003F577A"/>
    <w:rsid w:val="003F5BC8"/>
    <w:rsid w:val="003F6410"/>
    <w:rsid w:val="003F6879"/>
    <w:rsid w:val="00400ECD"/>
    <w:rsid w:val="00402612"/>
    <w:rsid w:val="004046D3"/>
    <w:rsid w:val="0040487B"/>
    <w:rsid w:val="004048A8"/>
    <w:rsid w:val="00404FB5"/>
    <w:rsid w:val="00405657"/>
    <w:rsid w:val="00405C6C"/>
    <w:rsid w:val="00406457"/>
    <w:rsid w:val="004111B7"/>
    <w:rsid w:val="00411BD0"/>
    <w:rsid w:val="004122F3"/>
    <w:rsid w:val="0041267F"/>
    <w:rsid w:val="00412F7C"/>
    <w:rsid w:val="0041441E"/>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CA3"/>
    <w:rsid w:val="00427771"/>
    <w:rsid w:val="00433243"/>
    <w:rsid w:val="00434981"/>
    <w:rsid w:val="00437A85"/>
    <w:rsid w:val="00440887"/>
    <w:rsid w:val="004413C3"/>
    <w:rsid w:val="0044350E"/>
    <w:rsid w:val="00443A50"/>
    <w:rsid w:val="00444225"/>
    <w:rsid w:val="0044571B"/>
    <w:rsid w:val="00447202"/>
    <w:rsid w:val="00447743"/>
    <w:rsid w:val="00450D92"/>
    <w:rsid w:val="004512D7"/>
    <w:rsid w:val="004520CB"/>
    <w:rsid w:val="00452680"/>
    <w:rsid w:val="00453A16"/>
    <w:rsid w:val="00453B85"/>
    <w:rsid w:val="004548FB"/>
    <w:rsid w:val="00456CC4"/>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D92"/>
    <w:rsid w:val="00473592"/>
    <w:rsid w:val="004739A5"/>
    <w:rsid w:val="00474829"/>
    <w:rsid w:val="00474C31"/>
    <w:rsid w:val="00477038"/>
    <w:rsid w:val="0048132D"/>
    <w:rsid w:val="0048319E"/>
    <w:rsid w:val="00483433"/>
    <w:rsid w:val="0048430A"/>
    <w:rsid w:val="00485124"/>
    <w:rsid w:val="004856EC"/>
    <w:rsid w:val="00486B15"/>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45D5"/>
    <w:rsid w:val="004A463F"/>
    <w:rsid w:val="004A6044"/>
    <w:rsid w:val="004B11F5"/>
    <w:rsid w:val="004B1935"/>
    <w:rsid w:val="004B329E"/>
    <w:rsid w:val="004B4B8F"/>
    <w:rsid w:val="004B7644"/>
    <w:rsid w:val="004C0650"/>
    <w:rsid w:val="004C2488"/>
    <w:rsid w:val="004C2FED"/>
    <w:rsid w:val="004C6FD3"/>
    <w:rsid w:val="004C7A3E"/>
    <w:rsid w:val="004D105F"/>
    <w:rsid w:val="004D1468"/>
    <w:rsid w:val="004D2002"/>
    <w:rsid w:val="004D2AB3"/>
    <w:rsid w:val="004D3EFC"/>
    <w:rsid w:val="004D615E"/>
    <w:rsid w:val="004D681E"/>
    <w:rsid w:val="004D69A7"/>
    <w:rsid w:val="004D6A25"/>
    <w:rsid w:val="004E23DE"/>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4FB6"/>
    <w:rsid w:val="004F5376"/>
    <w:rsid w:val="004F6DA8"/>
    <w:rsid w:val="004F7676"/>
    <w:rsid w:val="004F7774"/>
    <w:rsid w:val="004F7A67"/>
    <w:rsid w:val="00501262"/>
    <w:rsid w:val="005023F4"/>
    <w:rsid w:val="00502EE0"/>
    <w:rsid w:val="0050342D"/>
    <w:rsid w:val="00503690"/>
    <w:rsid w:val="005044DC"/>
    <w:rsid w:val="00504D6C"/>
    <w:rsid w:val="00504E73"/>
    <w:rsid w:val="00505250"/>
    <w:rsid w:val="00505BFA"/>
    <w:rsid w:val="00506B3C"/>
    <w:rsid w:val="00511BFD"/>
    <w:rsid w:val="00512400"/>
    <w:rsid w:val="00513526"/>
    <w:rsid w:val="00517B0A"/>
    <w:rsid w:val="00523A04"/>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412AC"/>
    <w:rsid w:val="00542A2B"/>
    <w:rsid w:val="0054401D"/>
    <w:rsid w:val="005464A9"/>
    <w:rsid w:val="0055296B"/>
    <w:rsid w:val="00552CEF"/>
    <w:rsid w:val="00553551"/>
    <w:rsid w:val="00553FC5"/>
    <w:rsid w:val="005554FF"/>
    <w:rsid w:val="00556902"/>
    <w:rsid w:val="00556BB0"/>
    <w:rsid w:val="005577A8"/>
    <w:rsid w:val="00557AB9"/>
    <w:rsid w:val="00557FD7"/>
    <w:rsid w:val="00560212"/>
    <w:rsid w:val="00563111"/>
    <w:rsid w:val="005644F7"/>
    <w:rsid w:val="00564539"/>
    <w:rsid w:val="00566394"/>
    <w:rsid w:val="00566CE5"/>
    <w:rsid w:val="0056779D"/>
    <w:rsid w:val="00570D5C"/>
    <w:rsid w:val="0057129E"/>
    <w:rsid w:val="00571A70"/>
    <w:rsid w:val="00572A2D"/>
    <w:rsid w:val="00574599"/>
    <w:rsid w:val="00574A0F"/>
    <w:rsid w:val="00580522"/>
    <w:rsid w:val="005810A3"/>
    <w:rsid w:val="0058133C"/>
    <w:rsid w:val="00581CFD"/>
    <w:rsid w:val="00584454"/>
    <w:rsid w:val="005844F7"/>
    <w:rsid w:val="005855FB"/>
    <w:rsid w:val="00585EEA"/>
    <w:rsid w:val="0058668B"/>
    <w:rsid w:val="00587410"/>
    <w:rsid w:val="00587D54"/>
    <w:rsid w:val="00590E8E"/>
    <w:rsid w:val="00591037"/>
    <w:rsid w:val="005911A7"/>
    <w:rsid w:val="00591227"/>
    <w:rsid w:val="00592BF7"/>
    <w:rsid w:val="00592FDB"/>
    <w:rsid w:val="00593082"/>
    <w:rsid w:val="005937CB"/>
    <w:rsid w:val="00593800"/>
    <w:rsid w:val="00593DF7"/>
    <w:rsid w:val="00595291"/>
    <w:rsid w:val="00595B59"/>
    <w:rsid w:val="00596FEB"/>
    <w:rsid w:val="00597442"/>
    <w:rsid w:val="00597FBC"/>
    <w:rsid w:val="005A0EE1"/>
    <w:rsid w:val="005A1A52"/>
    <w:rsid w:val="005A2509"/>
    <w:rsid w:val="005A3426"/>
    <w:rsid w:val="005A4BA1"/>
    <w:rsid w:val="005A6683"/>
    <w:rsid w:val="005A74E2"/>
    <w:rsid w:val="005B168F"/>
    <w:rsid w:val="005B1F15"/>
    <w:rsid w:val="005B2810"/>
    <w:rsid w:val="005B337A"/>
    <w:rsid w:val="005B3F49"/>
    <w:rsid w:val="005B4416"/>
    <w:rsid w:val="005B51E7"/>
    <w:rsid w:val="005B72E3"/>
    <w:rsid w:val="005C10B5"/>
    <w:rsid w:val="005C1E9D"/>
    <w:rsid w:val="005C378C"/>
    <w:rsid w:val="005C39F2"/>
    <w:rsid w:val="005C3B1B"/>
    <w:rsid w:val="005C4BB6"/>
    <w:rsid w:val="005C6F8E"/>
    <w:rsid w:val="005C71A1"/>
    <w:rsid w:val="005D3DC2"/>
    <w:rsid w:val="005D47F0"/>
    <w:rsid w:val="005D4C01"/>
    <w:rsid w:val="005D4D85"/>
    <w:rsid w:val="005D572F"/>
    <w:rsid w:val="005D5815"/>
    <w:rsid w:val="005D7DD6"/>
    <w:rsid w:val="005E0178"/>
    <w:rsid w:val="005E179E"/>
    <w:rsid w:val="005E22FA"/>
    <w:rsid w:val="005E26E0"/>
    <w:rsid w:val="005E5985"/>
    <w:rsid w:val="005E6AF6"/>
    <w:rsid w:val="005E6B83"/>
    <w:rsid w:val="005E7768"/>
    <w:rsid w:val="005E7A03"/>
    <w:rsid w:val="005F0E97"/>
    <w:rsid w:val="005F344B"/>
    <w:rsid w:val="005F5067"/>
    <w:rsid w:val="005F5185"/>
    <w:rsid w:val="005F542B"/>
    <w:rsid w:val="005F55F8"/>
    <w:rsid w:val="005F5681"/>
    <w:rsid w:val="005F66E2"/>
    <w:rsid w:val="005F7326"/>
    <w:rsid w:val="00600118"/>
    <w:rsid w:val="00600398"/>
    <w:rsid w:val="0060131E"/>
    <w:rsid w:val="00601791"/>
    <w:rsid w:val="00602509"/>
    <w:rsid w:val="0060469B"/>
    <w:rsid w:val="0060597B"/>
    <w:rsid w:val="0060756D"/>
    <w:rsid w:val="0061035E"/>
    <w:rsid w:val="00610659"/>
    <w:rsid w:val="006107C6"/>
    <w:rsid w:val="00610943"/>
    <w:rsid w:val="00611792"/>
    <w:rsid w:val="0061225A"/>
    <w:rsid w:val="0061239F"/>
    <w:rsid w:val="00614FD7"/>
    <w:rsid w:val="00615E57"/>
    <w:rsid w:val="00616B2A"/>
    <w:rsid w:val="00617873"/>
    <w:rsid w:val="00617FCB"/>
    <w:rsid w:val="00622996"/>
    <w:rsid w:val="00624252"/>
    <w:rsid w:val="00625028"/>
    <w:rsid w:val="006250C4"/>
    <w:rsid w:val="00626258"/>
    <w:rsid w:val="0062646C"/>
    <w:rsid w:val="00626A91"/>
    <w:rsid w:val="00626C82"/>
    <w:rsid w:val="00626F03"/>
    <w:rsid w:val="0063019F"/>
    <w:rsid w:val="006303A5"/>
    <w:rsid w:val="00630F44"/>
    <w:rsid w:val="00630FFC"/>
    <w:rsid w:val="00631F61"/>
    <w:rsid w:val="00634B08"/>
    <w:rsid w:val="00634F81"/>
    <w:rsid w:val="00635610"/>
    <w:rsid w:val="00637FA8"/>
    <w:rsid w:val="00643C8B"/>
    <w:rsid w:val="00644DBB"/>
    <w:rsid w:val="00645A26"/>
    <w:rsid w:val="00647DF6"/>
    <w:rsid w:val="006500BA"/>
    <w:rsid w:val="00650B3A"/>
    <w:rsid w:val="006510C5"/>
    <w:rsid w:val="006517D0"/>
    <w:rsid w:val="00651F1C"/>
    <w:rsid w:val="006523A0"/>
    <w:rsid w:val="00655CB9"/>
    <w:rsid w:val="006560F2"/>
    <w:rsid w:val="00656307"/>
    <w:rsid w:val="006567FE"/>
    <w:rsid w:val="0065702D"/>
    <w:rsid w:val="006618EA"/>
    <w:rsid w:val="00663A2E"/>
    <w:rsid w:val="00664DFC"/>
    <w:rsid w:val="00666B37"/>
    <w:rsid w:val="006674F2"/>
    <w:rsid w:val="006678C0"/>
    <w:rsid w:val="00667CC6"/>
    <w:rsid w:val="00667D32"/>
    <w:rsid w:val="00672061"/>
    <w:rsid w:val="00672E79"/>
    <w:rsid w:val="006730F5"/>
    <w:rsid w:val="006734F3"/>
    <w:rsid w:val="006735D4"/>
    <w:rsid w:val="00674C3D"/>
    <w:rsid w:val="00675876"/>
    <w:rsid w:val="00675AB9"/>
    <w:rsid w:val="00675FC2"/>
    <w:rsid w:val="006763A3"/>
    <w:rsid w:val="006767D6"/>
    <w:rsid w:val="00676B87"/>
    <w:rsid w:val="00676E92"/>
    <w:rsid w:val="00677A8C"/>
    <w:rsid w:val="00677F98"/>
    <w:rsid w:val="006801FF"/>
    <w:rsid w:val="00682513"/>
    <w:rsid w:val="00682B71"/>
    <w:rsid w:val="00682CAF"/>
    <w:rsid w:val="00683538"/>
    <w:rsid w:val="00683AD7"/>
    <w:rsid w:val="00683CFF"/>
    <w:rsid w:val="0068514F"/>
    <w:rsid w:val="0068602A"/>
    <w:rsid w:val="00686766"/>
    <w:rsid w:val="00686CEE"/>
    <w:rsid w:val="00687C55"/>
    <w:rsid w:val="00687FEB"/>
    <w:rsid w:val="00690EB8"/>
    <w:rsid w:val="006924F4"/>
    <w:rsid w:val="0069304E"/>
    <w:rsid w:val="00695321"/>
    <w:rsid w:val="006A17A7"/>
    <w:rsid w:val="006A2E2F"/>
    <w:rsid w:val="006A5A67"/>
    <w:rsid w:val="006A64B6"/>
    <w:rsid w:val="006A7303"/>
    <w:rsid w:val="006A75CE"/>
    <w:rsid w:val="006B299E"/>
    <w:rsid w:val="006B3488"/>
    <w:rsid w:val="006B3F5E"/>
    <w:rsid w:val="006B4A2C"/>
    <w:rsid w:val="006B5848"/>
    <w:rsid w:val="006B5B31"/>
    <w:rsid w:val="006B5C64"/>
    <w:rsid w:val="006B717C"/>
    <w:rsid w:val="006B78EC"/>
    <w:rsid w:val="006C0251"/>
    <w:rsid w:val="006C02B3"/>
    <w:rsid w:val="006C0C30"/>
    <w:rsid w:val="006C172E"/>
    <w:rsid w:val="006C26CD"/>
    <w:rsid w:val="006C3BDC"/>
    <w:rsid w:val="006C53FC"/>
    <w:rsid w:val="006C6839"/>
    <w:rsid w:val="006C7CF2"/>
    <w:rsid w:val="006D045A"/>
    <w:rsid w:val="006D0A99"/>
    <w:rsid w:val="006D1231"/>
    <w:rsid w:val="006D162E"/>
    <w:rsid w:val="006D212C"/>
    <w:rsid w:val="006D32B7"/>
    <w:rsid w:val="006D3A9B"/>
    <w:rsid w:val="006D3D8F"/>
    <w:rsid w:val="006D492C"/>
    <w:rsid w:val="006D5163"/>
    <w:rsid w:val="006D6BA0"/>
    <w:rsid w:val="006D6D95"/>
    <w:rsid w:val="006E068E"/>
    <w:rsid w:val="006E0979"/>
    <w:rsid w:val="006E0AB7"/>
    <w:rsid w:val="006E3151"/>
    <w:rsid w:val="006E3321"/>
    <w:rsid w:val="006E3E83"/>
    <w:rsid w:val="006E516A"/>
    <w:rsid w:val="006E627C"/>
    <w:rsid w:val="006E7135"/>
    <w:rsid w:val="006E7980"/>
    <w:rsid w:val="006F14AD"/>
    <w:rsid w:val="006F1E15"/>
    <w:rsid w:val="006F241E"/>
    <w:rsid w:val="006F2A26"/>
    <w:rsid w:val="006F2E1B"/>
    <w:rsid w:val="006F4844"/>
    <w:rsid w:val="006F5A4B"/>
    <w:rsid w:val="006F5AED"/>
    <w:rsid w:val="006F762F"/>
    <w:rsid w:val="007009CD"/>
    <w:rsid w:val="00701951"/>
    <w:rsid w:val="00702D49"/>
    <w:rsid w:val="00704E63"/>
    <w:rsid w:val="0070595C"/>
    <w:rsid w:val="0070646B"/>
    <w:rsid w:val="00706D6D"/>
    <w:rsid w:val="007075F9"/>
    <w:rsid w:val="00707AC0"/>
    <w:rsid w:val="00710FE8"/>
    <w:rsid w:val="0071157A"/>
    <w:rsid w:val="00711711"/>
    <w:rsid w:val="00713114"/>
    <w:rsid w:val="00713A0F"/>
    <w:rsid w:val="00713B22"/>
    <w:rsid w:val="00717F13"/>
    <w:rsid w:val="007211F2"/>
    <w:rsid w:val="0072186F"/>
    <w:rsid w:val="00722152"/>
    <w:rsid w:val="00722727"/>
    <w:rsid w:val="00723729"/>
    <w:rsid w:val="00723EC8"/>
    <w:rsid w:val="00724174"/>
    <w:rsid w:val="00725E31"/>
    <w:rsid w:val="00727B47"/>
    <w:rsid w:val="00730404"/>
    <w:rsid w:val="00730619"/>
    <w:rsid w:val="007314A7"/>
    <w:rsid w:val="007322E9"/>
    <w:rsid w:val="0073346A"/>
    <w:rsid w:val="00734672"/>
    <w:rsid w:val="0073609F"/>
    <w:rsid w:val="00736682"/>
    <w:rsid w:val="00737559"/>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1D28"/>
    <w:rsid w:val="007528DE"/>
    <w:rsid w:val="00753075"/>
    <w:rsid w:val="00753704"/>
    <w:rsid w:val="00754F40"/>
    <w:rsid w:val="007564DC"/>
    <w:rsid w:val="00757292"/>
    <w:rsid w:val="00760510"/>
    <w:rsid w:val="007608A0"/>
    <w:rsid w:val="00766359"/>
    <w:rsid w:val="0077018D"/>
    <w:rsid w:val="0077107E"/>
    <w:rsid w:val="007736C3"/>
    <w:rsid w:val="00773751"/>
    <w:rsid w:val="00774061"/>
    <w:rsid w:val="00774F4D"/>
    <w:rsid w:val="00777837"/>
    <w:rsid w:val="00777A9B"/>
    <w:rsid w:val="00780D62"/>
    <w:rsid w:val="00781423"/>
    <w:rsid w:val="0078180F"/>
    <w:rsid w:val="00783083"/>
    <w:rsid w:val="00784117"/>
    <w:rsid w:val="007871AB"/>
    <w:rsid w:val="007908AE"/>
    <w:rsid w:val="00791181"/>
    <w:rsid w:val="00791F2F"/>
    <w:rsid w:val="00792851"/>
    <w:rsid w:val="00793934"/>
    <w:rsid w:val="00793A0D"/>
    <w:rsid w:val="00795152"/>
    <w:rsid w:val="00797A66"/>
    <w:rsid w:val="007A0F93"/>
    <w:rsid w:val="007A199C"/>
    <w:rsid w:val="007A37D4"/>
    <w:rsid w:val="007A6702"/>
    <w:rsid w:val="007B0B4B"/>
    <w:rsid w:val="007B1D2B"/>
    <w:rsid w:val="007B2D72"/>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6A4F"/>
    <w:rsid w:val="007D6ADD"/>
    <w:rsid w:val="007D70BC"/>
    <w:rsid w:val="007D7115"/>
    <w:rsid w:val="007D7702"/>
    <w:rsid w:val="007E0CEA"/>
    <w:rsid w:val="007E0E7B"/>
    <w:rsid w:val="007E120E"/>
    <w:rsid w:val="007E146C"/>
    <w:rsid w:val="007E3046"/>
    <w:rsid w:val="007E31DD"/>
    <w:rsid w:val="007E65F3"/>
    <w:rsid w:val="007E6A52"/>
    <w:rsid w:val="007F0E1E"/>
    <w:rsid w:val="007F1613"/>
    <w:rsid w:val="007F3E0D"/>
    <w:rsid w:val="007F4520"/>
    <w:rsid w:val="007F5E10"/>
    <w:rsid w:val="007F62EA"/>
    <w:rsid w:val="007F7D3F"/>
    <w:rsid w:val="00801506"/>
    <w:rsid w:val="0080168B"/>
    <w:rsid w:val="00802098"/>
    <w:rsid w:val="008023A0"/>
    <w:rsid w:val="008029C2"/>
    <w:rsid w:val="008048F5"/>
    <w:rsid w:val="008068D7"/>
    <w:rsid w:val="00810752"/>
    <w:rsid w:val="00812306"/>
    <w:rsid w:val="00812454"/>
    <w:rsid w:val="008141ED"/>
    <w:rsid w:val="008158BF"/>
    <w:rsid w:val="00816505"/>
    <w:rsid w:val="008170B6"/>
    <w:rsid w:val="00820B6F"/>
    <w:rsid w:val="00820C50"/>
    <w:rsid w:val="00820D6D"/>
    <w:rsid w:val="0082115F"/>
    <w:rsid w:val="00821C02"/>
    <w:rsid w:val="00822512"/>
    <w:rsid w:val="00823D02"/>
    <w:rsid w:val="00824915"/>
    <w:rsid w:val="00824997"/>
    <w:rsid w:val="008253A1"/>
    <w:rsid w:val="0082598F"/>
    <w:rsid w:val="00825B55"/>
    <w:rsid w:val="008271AF"/>
    <w:rsid w:val="00831726"/>
    <w:rsid w:val="00831EDD"/>
    <w:rsid w:val="00833C74"/>
    <w:rsid w:val="008357E1"/>
    <w:rsid w:val="00835959"/>
    <w:rsid w:val="00835C9B"/>
    <w:rsid w:val="0083648A"/>
    <w:rsid w:val="008365CB"/>
    <w:rsid w:val="00836673"/>
    <w:rsid w:val="00836C99"/>
    <w:rsid w:val="00837A0E"/>
    <w:rsid w:val="00837DCE"/>
    <w:rsid w:val="00842624"/>
    <w:rsid w:val="00843688"/>
    <w:rsid w:val="008436C2"/>
    <w:rsid w:val="00844166"/>
    <w:rsid w:val="008455DA"/>
    <w:rsid w:val="00846A03"/>
    <w:rsid w:val="00846C23"/>
    <w:rsid w:val="00846E03"/>
    <w:rsid w:val="00847290"/>
    <w:rsid w:val="0084749E"/>
    <w:rsid w:val="00847C0E"/>
    <w:rsid w:val="00851F1A"/>
    <w:rsid w:val="00852DC7"/>
    <w:rsid w:val="00852E8B"/>
    <w:rsid w:val="0085324A"/>
    <w:rsid w:val="00854707"/>
    <w:rsid w:val="00854922"/>
    <w:rsid w:val="008549B7"/>
    <w:rsid w:val="00854CDE"/>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53FE"/>
    <w:rsid w:val="008755BF"/>
    <w:rsid w:val="0087757C"/>
    <w:rsid w:val="0088002D"/>
    <w:rsid w:val="00880165"/>
    <w:rsid w:val="00882638"/>
    <w:rsid w:val="008829A6"/>
    <w:rsid w:val="00883DB8"/>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9C9"/>
    <w:rsid w:val="008A3CB3"/>
    <w:rsid w:val="008A4A79"/>
    <w:rsid w:val="008A5857"/>
    <w:rsid w:val="008A5C1E"/>
    <w:rsid w:val="008A5CEE"/>
    <w:rsid w:val="008A5E57"/>
    <w:rsid w:val="008A618D"/>
    <w:rsid w:val="008A6519"/>
    <w:rsid w:val="008A6F41"/>
    <w:rsid w:val="008B00D1"/>
    <w:rsid w:val="008B382D"/>
    <w:rsid w:val="008B45AE"/>
    <w:rsid w:val="008B4B62"/>
    <w:rsid w:val="008C2DF1"/>
    <w:rsid w:val="008C305E"/>
    <w:rsid w:val="008C3442"/>
    <w:rsid w:val="008C60E9"/>
    <w:rsid w:val="008C64E5"/>
    <w:rsid w:val="008D134C"/>
    <w:rsid w:val="008D37E5"/>
    <w:rsid w:val="008D3EF2"/>
    <w:rsid w:val="008D3F4C"/>
    <w:rsid w:val="008D50D7"/>
    <w:rsid w:val="008E092C"/>
    <w:rsid w:val="008E2699"/>
    <w:rsid w:val="008E67A6"/>
    <w:rsid w:val="008E6F17"/>
    <w:rsid w:val="008E7586"/>
    <w:rsid w:val="008E7C70"/>
    <w:rsid w:val="008F0C10"/>
    <w:rsid w:val="008F15B0"/>
    <w:rsid w:val="008F16F7"/>
    <w:rsid w:val="008F1E6E"/>
    <w:rsid w:val="008F2E68"/>
    <w:rsid w:val="008F3200"/>
    <w:rsid w:val="008F361C"/>
    <w:rsid w:val="008F3D49"/>
    <w:rsid w:val="008F4D1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63C9"/>
    <w:rsid w:val="009169E9"/>
    <w:rsid w:val="00916D69"/>
    <w:rsid w:val="00916DA0"/>
    <w:rsid w:val="00917279"/>
    <w:rsid w:val="009202E6"/>
    <w:rsid w:val="0092069E"/>
    <w:rsid w:val="00921B4A"/>
    <w:rsid w:val="00921E94"/>
    <w:rsid w:val="00922FE8"/>
    <w:rsid w:val="00923BA8"/>
    <w:rsid w:val="009247DA"/>
    <w:rsid w:val="009248B8"/>
    <w:rsid w:val="009250EB"/>
    <w:rsid w:val="0092517E"/>
    <w:rsid w:val="0092522E"/>
    <w:rsid w:val="00927CD1"/>
    <w:rsid w:val="00930751"/>
    <w:rsid w:val="00930B62"/>
    <w:rsid w:val="009313B1"/>
    <w:rsid w:val="009321F8"/>
    <w:rsid w:val="00933FDE"/>
    <w:rsid w:val="009345E4"/>
    <w:rsid w:val="0093527F"/>
    <w:rsid w:val="00935B8D"/>
    <w:rsid w:val="00936088"/>
    <w:rsid w:val="0093767B"/>
    <w:rsid w:val="00937C4C"/>
    <w:rsid w:val="00941030"/>
    <w:rsid w:val="00943961"/>
    <w:rsid w:val="00944B13"/>
    <w:rsid w:val="00945B5A"/>
    <w:rsid w:val="00947EE3"/>
    <w:rsid w:val="00950738"/>
    <w:rsid w:val="0095258F"/>
    <w:rsid w:val="00952E18"/>
    <w:rsid w:val="00953AC5"/>
    <w:rsid w:val="00955E3C"/>
    <w:rsid w:val="0095605D"/>
    <w:rsid w:val="00957C7D"/>
    <w:rsid w:val="00957FF2"/>
    <w:rsid w:val="00961AD1"/>
    <w:rsid w:val="0096729C"/>
    <w:rsid w:val="00970257"/>
    <w:rsid w:val="00971B09"/>
    <w:rsid w:val="00971BCF"/>
    <w:rsid w:val="00972E6A"/>
    <w:rsid w:val="00973F18"/>
    <w:rsid w:val="009749EF"/>
    <w:rsid w:val="00974C97"/>
    <w:rsid w:val="00975293"/>
    <w:rsid w:val="00975596"/>
    <w:rsid w:val="00976189"/>
    <w:rsid w:val="009773EF"/>
    <w:rsid w:val="00977F0F"/>
    <w:rsid w:val="0098053F"/>
    <w:rsid w:val="009806EC"/>
    <w:rsid w:val="00981873"/>
    <w:rsid w:val="009825D8"/>
    <w:rsid w:val="00983910"/>
    <w:rsid w:val="00983AB1"/>
    <w:rsid w:val="009848C6"/>
    <w:rsid w:val="009848F0"/>
    <w:rsid w:val="009849B6"/>
    <w:rsid w:val="009874BF"/>
    <w:rsid w:val="00987A22"/>
    <w:rsid w:val="00987D18"/>
    <w:rsid w:val="009935B1"/>
    <w:rsid w:val="009937BC"/>
    <w:rsid w:val="00995666"/>
    <w:rsid w:val="0099677F"/>
    <w:rsid w:val="00997DCC"/>
    <w:rsid w:val="009A019A"/>
    <w:rsid w:val="009A1431"/>
    <w:rsid w:val="009A1620"/>
    <w:rsid w:val="009A284D"/>
    <w:rsid w:val="009A2E30"/>
    <w:rsid w:val="009A5E57"/>
    <w:rsid w:val="009A78D0"/>
    <w:rsid w:val="009A7C3E"/>
    <w:rsid w:val="009B0002"/>
    <w:rsid w:val="009B03DE"/>
    <w:rsid w:val="009B09A9"/>
    <w:rsid w:val="009B1FA8"/>
    <w:rsid w:val="009B25B2"/>
    <w:rsid w:val="009B2643"/>
    <w:rsid w:val="009B286C"/>
    <w:rsid w:val="009B3432"/>
    <w:rsid w:val="009B3D06"/>
    <w:rsid w:val="009B45F6"/>
    <w:rsid w:val="009B485D"/>
    <w:rsid w:val="009B6EB9"/>
    <w:rsid w:val="009B7169"/>
    <w:rsid w:val="009C0351"/>
    <w:rsid w:val="009C0727"/>
    <w:rsid w:val="009C1386"/>
    <w:rsid w:val="009C65C6"/>
    <w:rsid w:val="009C7B47"/>
    <w:rsid w:val="009D0669"/>
    <w:rsid w:val="009D13F8"/>
    <w:rsid w:val="009D1DE4"/>
    <w:rsid w:val="009D1E93"/>
    <w:rsid w:val="009D3AF0"/>
    <w:rsid w:val="009D440F"/>
    <w:rsid w:val="009D6605"/>
    <w:rsid w:val="009D6C8D"/>
    <w:rsid w:val="009D70D7"/>
    <w:rsid w:val="009D7BDC"/>
    <w:rsid w:val="009D7D4D"/>
    <w:rsid w:val="009E113E"/>
    <w:rsid w:val="009E1E8A"/>
    <w:rsid w:val="009E20A7"/>
    <w:rsid w:val="009E2A60"/>
    <w:rsid w:val="009E3F44"/>
    <w:rsid w:val="009E5C56"/>
    <w:rsid w:val="009E6A70"/>
    <w:rsid w:val="009E7093"/>
    <w:rsid w:val="009F02A9"/>
    <w:rsid w:val="009F05C8"/>
    <w:rsid w:val="009F0677"/>
    <w:rsid w:val="009F2E88"/>
    <w:rsid w:val="009F31E7"/>
    <w:rsid w:val="009F3850"/>
    <w:rsid w:val="009F4122"/>
    <w:rsid w:val="009F4419"/>
    <w:rsid w:val="009F4900"/>
    <w:rsid w:val="009F4E87"/>
    <w:rsid w:val="009F61F5"/>
    <w:rsid w:val="009F6C80"/>
    <w:rsid w:val="009F7DD8"/>
    <w:rsid w:val="009F7E9B"/>
    <w:rsid w:val="00A0033C"/>
    <w:rsid w:val="00A0181F"/>
    <w:rsid w:val="00A01BCB"/>
    <w:rsid w:val="00A02716"/>
    <w:rsid w:val="00A02F86"/>
    <w:rsid w:val="00A03F14"/>
    <w:rsid w:val="00A0491A"/>
    <w:rsid w:val="00A05586"/>
    <w:rsid w:val="00A06301"/>
    <w:rsid w:val="00A07000"/>
    <w:rsid w:val="00A10806"/>
    <w:rsid w:val="00A108E3"/>
    <w:rsid w:val="00A10CE2"/>
    <w:rsid w:val="00A11292"/>
    <w:rsid w:val="00A115C6"/>
    <w:rsid w:val="00A12436"/>
    <w:rsid w:val="00A14B60"/>
    <w:rsid w:val="00A1524A"/>
    <w:rsid w:val="00A15614"/>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3036D"/>
    <w:rsid w:val="00A31BCD"/>
    <w:rsid w:val="00A3306F"/>
    <w:rsid w:val="00A330E5"/>
    <w:rsid w:val="00A34F58"/>
    <w:rsid w:val="00A35C04"/>
    <w:rsid w:val="00A36354"/>
    <w:rsid w:val="00A36BB9"/>
    <w:rsid w:val="00A407B9"/>
    <w:rsid w:val="00A41D7A"/>
    <w:rsid w:val="00A4315C"/>
    <w:rsid w:val="00A43216"/>
    <w:rsid w:val="00A465E6"/>
    <w:rsid w:val="00A47E1E"/>
    <w:rsid w:val="00A51154"/>
    <w:rsid w:val="00A523FE"/>
    <w:rsid w:val="00A5255F"/>
    <w:rsid w:val="00A5283B"/>
    <w:rsid w:val="00A535BE"/>
    <w:rsid w:val="00A541FF"/>
    <w:rsid w:val="00A553C3"/>
    <w:rsid w:val="00A554D9"/>
    <w:rsid w:val="00A56314"/>
    <w:rsid w:val="00A566E3"/>
    <w:rsid w:val="00A56E39"/>
    <w:rsid w:val="00A5789F"/>
    <w:rsid w:val="00A57E2A"/>
    <w:rsid w:val="00A6192D"/>
    <w:rsid w:val="00A620C3"/>
    <w:rsid w:val="00A62B59"/>
    <w:rsid w:val="00A6491B"/>
    <w:rsid w:val="00A64E33"/>
    <w:rsid w:val="00A65041"/>
    <w:rsid w:val="00A65B82"/>
    <w:rsid w:val="00A67359"/>
    <w:rsid w:val="00A677E7"/>
    <w:rsid w:val="00A7008F"/>
    <w:rsid w:val="00A71A7C"/>
    <w:rsid w:val="00A73A0F"/>
    <w:rsid w:val="00A748BF"/>
    <w:rsid w:val="00A7521F"/>
    <w:rsid w:val="00A76A39"/>
    <w:rsid w:val="00A7768F"/>
    <w:rsid w:val="00A77F8E"/>
    <w:rsid w:val="00A81B15"/>
    <w:rsid w:val="00A829DD"/>
    <w:rsid w:val="00A82F86"/>
    <w:rsid w:val="00A83274"/>
    <w:rsid w:val="00A84782"/>
    <w:rsid w:val="00A84E1D"/>
    <w:rsid w:val="00A84F36"/>
    <w:rsid w:val="00A852D8"/>
    <w:rsid w:val="00A85DBC"/>
    <w:rsid w:val="00A90B88"/>
    <w:rsid w:val="00A91C24"/>
    <w:rsid w:val="00A92763"/>
    <w:rsid w:val="00A92786"/>
    <w:rsid w:val="00A94919"/>
    <w:rsid w:val="00A94C17"/>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C0B1D"/>
    <w:rsid w:val="00AC0D98"/>
    <w:rsid w:val="00AC1341"/>
    <w:rsid w:val="00AC1DE0"/>
    <w:rsid w:val="00AC256A"/>
    <w:rsid w:val="00AC2E02"/>
    <w:rsid w:val="00AC4ACA"/>
    <w:rsid w:val="00AC5B2C"/>
    <w:rsid w:val="00AC731B"/>
    <w:rsid w:val="00AC7EEE"/>
    <w:rsid w:val="00AD0B1A"/>
    <w:rsid w:val="00AD2171"/>
    <w:rsid w:val="00AD3AF2"/>
    <w:rsid w:val="00AD3DAC"/>
    <w:rsid w:val="00AD40A8"/>
    <w:rsid w:val="00AD48D2"/>
    <w:rsid w:val="00AD50AB"/>
    <w:rsid w:val="00AD586F"/>
    <w:rsid w:val="00AE07A6"/>
    <w:rsid w:val="00AE2112"/>
    <w:rsid w:val="00AE2A09"/>
    <w:rsid w:val="00AE2CA3"/>
    <w:rsid w:val="00AE2F9C"/>
    <w:rsid w:val="00AE5778"/>
    <w:rsid w:val="00AE60BF"/>
    <w:rsid w:val="00AE74B6"/>
    <w:rsid w:val="00AE78E1"/>
    <w:rsid w:val="00AF043E"/>
    <w:rsid w:val="00AF04BE"/>
    <w:rsid w:val="00AF2290"/>
    <w:rsid w:val="00AF2DAC"/>
    <w:rsid w:val="00AF3C65"/>
    <w:rsid w:val="00AF5A64"/>
    <w:rsid w:val="00AF5BFA"/>
    <w:rsid w:val="00AF5CD1"/>
    <w:rsid w:val="00AF5F7B"/>
    <w:rsid w:val="00B00D97"/>
    <w:rsid w:val="00B01B30"/>
    <w:rsid w:val="00B03077"/>
    <w:rsid w:val="00B03102"/>
    <w:rsid w:val="00B0445D"/>
    <w:rsid w:val="00B06432"/>
    <w:rsid w:val="00B10D78"/>
    <w:rsid w:val="00B11125"/>
    <w:rsid w:val="00B111B8"/>
    <w:rsid w:val="00B11F53"/>
    <w:rsid w:val="00B124AE"/>
    <w:rsid w:val="00B1262E"/>
    <w:rsid w:val="00B1532A"/>
    <w:rsid w:val="00B154D9"/>
    <w:rsid w:val="00B174D3"/>
    <w:rsid w:val="00B1773B"/>
    <w:rsid w:val="00B177E5"/>
    <w:rsid w:val="00B17DAA"/>
    <w:rsid w:val="00B20319"/>
    <w:rsid w:val="00B20E7E"/>
    <w:rsid w:val="00B21085"/>
    <w:rsid w:val="00B2156A"/>
    <w:rsid w:val="00B21A10"/>
    <w:rsid w:val="00B21FA9"/>
    <w:rsid w:val="00B222B7"/>
    <w:rsid w:val="00B24094"/>
    <w:rsid w:val="00B24699"/>
    <w:rsid w:val="00B24981"/>
    <w:rsid w:val="00B25146"/>
    <w:rsid w:val="00B256FD"/>
    <w:rsid w:val="00B26A9C"/>
    <w:rsid w:val="00B273A0"/>
    <w:rsid w:val="00B2759C"/>
    <w:rsid w:val="00B27F9F"/>
    <w:rsid w:val="00B300C3"/>
    <w:rsid w:val="00B3269E"/>
    <w:rsid w:val="00B33CBD"/>
    <w:rsid w:val="00B34E41"/>
    <w:rsid w:val="00B35290"/>
    <w:rsid w:val="00B35EC1"/>
    <w:rsid w:val="00B379D8"/>
    <w:rsid w:val="00B42368"/>
    <w:rsid w:val="00B42A2B"/>
    <w:rsid w:val="00B42EB9"/>
    <w:rsid w:val="00B4489D"/>
    <w:rsid w:val="00B46F93"/>
    <w:rsid w:val="00B47B0D"/>
    <w:rsid w:val="00B50115"/>
    <w:rsid w:val="00B51542"/>
    <w:rsid w:val="00B518B8"/>
    <w:rsid w:val="00B51A82"/>
    <w:rsid w:val="00B52434"/>
    <w:rsid w:val="00B52871"/>
    <w:rsid w:val="00B54E0E"/>
    <w:rsid w:val="00B553A1"/>
    <w:rsid w:val="00B55747"/>
    <w:rsid w:val="00B57F95"/>
    <w:rsid w:val="00B628C7"/>
    <w:rsid w:val="00B62CD7"/>
    <w:rsid w:val="00B63025"/>
    <w:rsid w:val="00B636EE"/>
    <w:rsid w:val="00B65D63"/>
    <w:rsid w:val="00B664FC"/>
    <w:rsid w:val="00B7246B"/>
    <w:rsid w:val="00B73609"/>
    <w:rsid w:val="00B74F38"/>
    <w:rsid w:val="00B759A6"/>
    <w:rsid w:val="00B76F97"/>
    <w:rsid w:val="00B80259"/>
    <w:rsid w:val="00B80878"/>
    <w:rsid w:val="00B80F90"/>
    <w:rsid w:val="00B81934"/>
    <w:rsid w:val="00B82065"/>
    <w:rsid w:val="00B8225E"/>
    <w:rsid w:val="00B82CA1"/>
    <w:rsid w:val="00B8446C"/>
    <w:rsid w:val="00B85EF6"/>
    <w:rsid w:val="00B86A76"/>
    <w:rsid w:val="00B90BD1"/>
    <w:rsid w:val="00B90CCE"/>
    <w:rsid w:val="00B90F8B"/>
    <w:rsid w:val="00B91168"/>
    <w:rsid w:val="00B924E8"/>
    <w:rsid w:val="00B93282"/>
    <w:rsid w:val="00B93544"/>
    <w:rsid w:val="00B93B20"/>
    <w:rsid w:val="00B94B93"/>
    <w:rsid w:val="00B951C8"/>
    <w:rsid w:val="00B953E9"/>
    <w:rsid w:val="00B95C86"/>
    <w:rsid w:val="00B97B89"/>
    <w:rsid w:val="00BA1226"/>
    <w:rsid w:val="00BA23F8"/>
    <w:rsid w:val="00BA2837"/>
    <w:rsid w:val="00BA39EF"/>
    <w:rsid w:val="00BA48A6"/>
    <w:rsid w:val="00BA68D1"/>
    <w:rsid w:val="00BA76A1"/>
    <w:rsid w:val="00BB145D"/>
    <w:rsid w:val="00BB2F88"/>
    <w:rsid w:val="00BB3DBB"/>
    <w:rsid w:val="00BB47AD"/>
    <w:rsid w:val="00BB4F1F"/>
    <w:rsid w:val="00BB5041"/>
    <w:rsid w:val="00BB5681"/>
    <w:rsid w:val="00BB5825"/>
    <w:rsid w:val="00BB7888"/>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6500"/>
    <w:rsid w:val="00BD6750"/>
    <w:rsid w:val="00BD699E"/>
    <w:rsid w:val="00BD78A8"/>
    <w:rsid w:val="00BD791E"/>
    <w:rsid w:val="00BE2623"/>
    <w:rsid w:val="00BE3815"/>
    <w:rsid w:val="00BE3E9E"/>
    <w:rsid w:val="00BE6ED7"/>
    <w:rsid w:val="00BE7998"/>
    <w:rsid w:val="00BE7DB4"/>
    <w:rsid w:val="00BF1050"/>
    <w:rsid w:val="00BF107C"/>
    <w:rsid w:val="00BF1F30"/>
    <w:rsid w:val="00BF2A63"/>
    <w:rsid w:val="00BF47B0"/>
    <w:rsid w:val="00BF5D11"/>
    <w:rsid w:val="00BF66AA"/>
    <w:rsid w:val="00BF7854"/>
    <w:rsid w:val="00C0086D"/>
    <w:rsid w:val="00C00C4E"/>
    <w:rsid w:val="00C02377"/>
    <w:rsid w:val="00C02444"/>
    <w:rsid w:val="00C054AE"/>
    <w:rsid w:val="00C057E1"/>
    <w:rsid w:val="00C05B13"/>
    <w:rsid w:val="00C06A37"/>
    <w:rsid w:val="00C075E5"/>
    <w:rsid w:val="00C10793"/>
    <w:rsid w:val="00C127A3"/>
    <w:rsid w:val="00C12BF6"/>
    <w:rsid w:val="00C12E8F"/>
    <w:rsid w:val="00C13FD6"/>
    <w:rsid w:val="00C140C4"/>
    <w:rsid w:val="00C1485B"/>
    <w:rsid w:val="00C155CD"/>
    <w:rsid w:val="00C17D43"/>
    <w:rsid w:val="00C21BF9"/>
    <w:rsid w:val="00C2539F"/>
    <w:rsid w:val="00C25727"/>
    <w:rsid w:val="00C25E66"/>
    <w:rsid w:val="00C25F18"/>
    <w:rsid w:val="00C26B3B"/>
    <w:rsid w:val="00C26E91"/>
    <w:rsid w:val="00C276C6"/>
    <w:rsid w:val="00C30821"/>
    <w:rsid w:val="00C31179"/>
    <w:rsid w:val="00C31D72"/>
    <w:rsid w:val="00C330F1"/>
    <w:rsid w:val="00C33729"/>
    <w:rsid w:val="00C33F66"/>
    <w:rsid w:val="00C3555A"/>
    <w:rsid w:val="00C359F8"/>
    <w:rsid w:val="00C37CD2"/>
    <w:rsid w:val="00C42414"/>
    <w:rsid w:val="00C444D0"/>
    <w:rsid w:val="00C44D68"/>
    <w:rsid w:val="00C45983"/>
    <w:rsid w:val="00C46B4D"/>
    <w:rsid w:val="00C47165"/>
    <w:rsid w:val="00C47FB1"/>
    <w:rsid w:val="00C5033F"/>
    <w:rsid w:val="00C50DB1"/>
    <w:rsid w:val="00C52924"/>
    <w:rsid w:val="00C52ED1"/>
    <w:rsid w:val="00C535AE"/>
    <w:rsid w:val="00C55A94"/>
    <w:rsid w:val="00C60D76"/>
    <w:rsid w:val="00C61555"/>
    <w:rsid w:val="00C63566"/>
    <w:rsid w:val="00C65181"/>
    <w:rsid w:val="00C65A81"/>
    <w:rsid w:val="00C670BE"/>
    <w:rsid w:val="00C67418"/>
    <w:rsid w:val="00C72458"/>
    <w:rsid w:val="00C7254C"/>
    <w:rsid w:val="00C72939"/>
    <w:rsid w:val="00C73C41"/>
    <w:rsid w:val="00C74B8E"/>
    <w:rsid w:val="00C75DC6"/>
    <w:rsid w:val="00C76766"/>
    <w:rsid w:val="00C773D8"/>
    <w:rsid w:val="00C774AB"/>
    <w:rsid w:val="00C77642"/>
    <w:rsid w:val="00C779AE"/>
    <w:rsid w:val="00C77C0E"/>
    <w:rsid w:val="00C817AD"/>
    <w:rsid w:val="00C81936"/>
    <w:rsid w:val="00C81DF2"/>
    <w:rsid w:val="00C82707"/>
    <w:rsid w:val="00C8384A"/>
    <w:rsid w:val="00C83C97"/>
    <w:rsid w:val="00C83D22"/>
    <w:rsid w:val="00C845C8"/>
    <w:rsid w:val="00C8492D"/>
    <w:rsid w:val="00C8744B"/>
    <w:rsid w:val="00C9049A"/>
    <w:rsid w:val="00C90B87"/>
    <w:rsid w:val="00C91602"/>
    <w:rsid w:val="00C92E43"/>
    <w:rsid w:val="00C932B4"/>
    <w:rsid w:val="00C93BB1"/>
    <w:rsid w:val="00C962BA"/>
    <w:rsid w:val="00C96695"/>
    <w:rsid w:val="00C96B43"/>
    <w:rsid w:val="00CA050F"/>
    <w:rsid w:val="00CA20D3"/>
    <w:rsid w:val="00CA28D5"/>
    <w:rsid w:val="00CA2978"/>
    <w:rsid w:val="00CA297B"/>
    <w:rsid w:val="00CA2F98"/>
    <w:rsid w:val="00CA35D8"/>
    <w:rsid w:val="00CA36D0"/>
    <w:rsid w:val="00CA4548"/>
    <w:rsid w:val="00CA4D58"/>
    <w:rsid w:val="00CA5FFD"/>
    <w:rsid w:val="00CA6D6A"/>
    <w:rsid w:val="00CA72EF"/>
    <w:rsid w:val="00CB0276"/>
    <w:rsid w:val="00CB0504"/>
    <w:rsid w:val="00CB095F"/>
    <w:rsid w:val="00CB0CCC"/>
    <w:rsid w:val="00CB1674"/>
    <w:rsid w:val="00CB1CF6"/>
    <w:rsid w:val="00CB39F4"/>
    <w:rsid w:val="00CB4954"/>
    <w:rsid w:val="00CB5A7C"/>
    <w:rsid w:val="00CB6EC9"/>
    <w:rsid w:val="00CC13F8"/>
    <w:rsid w:val="00CC3BFC"/>
    <w:rsid w:val="00CC4A4E"/>
    <w:rsid w:val="00CC599C"/>
    <w:rsid w:val="00CD0D67"/>
    <w:rsid w:val="00CD174E"/>
    <w:rsid w:val="00CD1B2B"/>
    <w:rsid w:val="00CD1CF5"/>
    <w:rsid w:val="00CD26E8"/>
    <w:rsid w:val="00CD2E36"/>
    <w:rsid w:val="00CD4E31"/>
    <w:rsid w:val="00CD5CCA"/>
    <w:rsid w:val="00CD6646"/>
    <w:rsid w:val="00CE01E5"/>
    <w:rsid w:val="00CE083C"/>
    <w:rsid w:val="00CE09A3"/>
    <w:rsid w:val="00CE09E9"/>
    <w:rsid w:val="00CE0EBB"/>
    <w:rsid w:val="00CE3E2D"/>
    <w:rsid w:val="00CE530F"/>
    <w:rsid w:val="00CE6AE3"/>
    <w:rsid w:val="00CE7B9B"/>
    <w:rsid w:val="00CF1248"/>
    <w:rsid w:val="00CF3325"/>
    <w:rsid w:val="00CF4A73"/>
    <w:rsid w:val="00CF4A8F"/>
    <w:rsid w:val="00CF528F"/>
    <w:rsid w:val="00CF675E"/>
    <w:rsid w:val="00CF70F6"/>
    <w:rsid w:val="00D005C0"/>
    <w:rsid w:val="00D00D9F"/>
    <w:rsid w:val="00D02C9A"/>
    <w:rsid w:val="00D03572"/>
    <w:rsid w:val="00D049DE"/>
    <w:rsid w:val="00D05547"/>
    <w:rsid w:val="00D10B52"/>
    <w:rsid w:val="00D11196"/>
    <w:rsid w:val="00D14D00"/>
    <w:rsid w:val="00D15400"/>
    <w:rsid w:val="00D177F3"/>
    <w:rsid w:val="00D207F3"/>
    <w:rsid w:val="00D20B50"/>
    <w:rsid w:val="00D20DB1"/>
    <w:rsid w:val="00D229EE"/>
    <w:rsid w:val="00D24D0D"/>
    <w:rsid w:val="00D31086"/>
    <w:rsid w:val="00D33E2D"/>
    <w:rsid w:val="00D3791E"/>
    <w:rsid w:val="00D411A8"/>
    <w:rsid w:val="00D41BE8"/>
    <w:rsid w:val="00D42F6A"/>
    <w:rsid w:val="00D4313E"/>
    <w:rsid w:val="00D44D18"/>
    <w:rsid w:val="00D45C6E"/>
    <w:rsid w:val="00D45FD5"/>
    <w:rsid w:val="00D504B3"/>
    <w:rsid w:val="00D50DE6"/>
    <w:rsid w:val="00D520E4"/>
    <w:rsid w:val="00D52A8E"/>
    <w:rsid w:val="00D56E27"/>
    <w:rsid w:val="00D57631"/>
    <w:rsid w:val="00D57DFA"/>
    <w:rsid w:val="00D61AF7"/>
    <w:rsid w:val="00D61B3C"/>
    <w:rsid w:val="00D61CAE"/>
    <w:rsid w:val="00D61CD0"/>
    <w:rsid w:val="00D62A55"/>
    <w:rsid w:val="00D62E03"/>
    <w:rsid w:val="00D65E10"/>
    <w:rsid w:val="00D674BD"/>
    <w:rsid w:val="00D713B8"/>
    <w:rsid w:val="00D716B4"/>
    <w:rsid w:val="00D71CD6"/>
    <w:rsid w:val="00D72624"/>
    <w:rsid w:val="00D736BF"/>
    <w:rsid w:val="00D740AB"/>
    <w:rsid w:val="00D74885"/>
    <w:rsid w:val="00D75225"/>
    <w:rsid w:val="00D752BE"/>
    <w:rsid w:val="00D759F9"/>
    <w:rsid w:val="00D7736B"/>
    <w:rsid w:val="00D803C1"/>
    <w:rsid w:val="00D81137"/>
    <w:rsid w:val="00D82109"/>
    <w:rsid w:val="00D821DB"/>
    <w:rsid w:val="00D83E27"/>
    <w:rsid w:val="00D83EC7"/>
    <w:rsid w:val="00D85D59"/>
    <w:rsid w:val="00D86FF5"/>
    <w:rsid w:val="00D871B7"/>
    <w:rsid w:val="00D907EF"/>
    <w:rsid w:val="00D915D7"/>
    <w:rsid w:val="00D918BB"/>
    <w:rsid w:val="00D9255B"/>
    <w:rsid w:val="00D92E7D"/>
    <w:rsid w:val="00D92F91"/>
    <w:rsid w:val="00D94B48"/>
    <w:rsid w:val="00D950AF"/>
    <w:rsid w:val="00D96736"/>
    <w:rsid w:val="00D96FB7"/>
    <w:rsid w:val="00D97839"/>
    <w:rsid w:val="00D97A63"/>
    <w:rsid w:val="00D97DAC"/>
    <w:rsid w:val="00DA0385"/>
    <w:rsid w:val="00DA1099"/>
    <w:rsid w:val="00DA2808"/>
    <w:rsid w:val="00DA30A4"/>
    <w:rsid w:val="00DA4957"/>
    <w:rsid w:val="00DA6B4A"/>
    <w:rsid w:val="00DA71E4"/>
    <w:rsid w:val="00DA7D98"/>
    <w:rsid w:val="00DB1CC4"/>
    <w:rsid w:val="00DB213E"/>
    <w:rsid w:val="00DB44A0"/>
    <w:rsid w:val="00DB4824"/>
    <w:rsid w:val="00DB6D1D"/>
    <w:rsid w:val="00DB7333"/>
    <w:rsid w:val="00DB767A"/>
    <w:rsid w:val="00DC1E8B"/>
    <w:rsid w:val="00DC4735"/>
    <w:rsid w:val="00DC74A5"/>
    <w:rsid w:val="00DC7743"/>
    <w:rsid w:val="00DC78E0"/>
    <w:rsid w:val="00DD00FC"/>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1E86"/>
    <w:rsid w:val="00DE259B"/>
    <w:rsid w:val="00DE32EC"/>
    <w:rsid w:val="00DE33B3"/>
    <w:rsid w:val="00DE34B6"/>
    <w:rsid w:val="00DE3E5A"/>
    <w:rsid w:val="00DE58E6"/>
    <w:rsid w:val="00DE6138"/>
    <w:rsid w:val="00DE6378"/>
    <w:rsid w:val="00DE6537"/>
    <w:rsid w:val="00DE7F39"/>
    <w:rsid w:val="00DF1843"/>
    <w:rsid w:val="00DF22DD"/>
    <w:rsid w:val="00DF58AC"/>
    <w:rsid w:val="00DF71C5"/>
    <w:rsid w:val="00DF75BF"/>
    <w:rsid w:val="00E02F8A"/>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2AB6"/>
    <w:rsid w:val="00E23BE1"/>
    <w:rsid w:val="00E24452"/>
    <w:rsid w:val="00E24FDB"/>
    <w:rsid w:val="00E254D1"/>
    <w:rsid w:val="00E27DBC"/>
    <w:rsid w:val="00E302BE"/>
    <w:rsid w:val="00E304B5"/>
    <w:rsid w:val="00E30592"/>
    <w:rsid w:val="00E3126E"/>
    <w:rsid w:val="00E33AB7"/>
    <w:rsid w:val="00E34CA3"/>
    <w:rsid w:val="00E3555C"/>
    <w:rsid w:val="00E35C2D"/>
    <w:rsid w:val="00E36385"/>
    <w:rsid w:val="00E37401"/>
    <w:rsid w:val="00E4070B"/>
    <w:rsid w:val="00E41020"/>
    <w:rsid w:val="00E41089"/>
    <w:rsid w:val="00E411B3"/>
    <w:rsid w:val="00E41386"/>
    <w:rsid w:val="00E41559"/>
    <w:rsid w:val="00E416AD"/>
    <w:rsid w:val="00E41BBF"/>
    <w:rsid w:val="00E4525E"/>
    <w:rsid w:val="00E51485"/>
    <w:rsid w:val="00E5175D"/>
    <w:rsid w:val="00E52118"/>
    <w:rsid w:val="00E5347F"/>
    <w:rsid w:val="00E5493A"/>
    <w:rsid w:val="00E55944"/>
    <w:rsid w:val="00E55ABC"/>
    <w:rsid w:val="00E56162"/>
    <w:rsid w:val="00E56C11"/>
    <w:rsid w:val="00E56D92"/>
    <w:rsid w:val="00E579FD"/>
    <w:rsid w:val="00E57B74"/>
    <w:rsid w:val="00E61A44"/>
    <w:rsid w:val="00E629EF"/>
    <w:rsid w:val="00E62A7C"/>
    <w:rsid w:val="00E62D7D"/>
    <w:rsid w:val="00E6515F"/>
    <w:rsid w:val="00E6638D"/>
    <w:rsid w:val="00E66EE8"/>
    <w:rsid w:val="00E67867"/>
    <w:rsid w:val="00E71411"/>
    <w:rsid w:val="00E71C8A"/>
    <w:rsid w:val="00E744CF"/>
    <w:rsid w:val="00E74F5B"/>
    <w:rsid w:val="00E75D7D"/>
    <w:rsid w:val="00E7660F"/>
    <w:rsid w:val="00E76D46"/>
    <w:rsid w:val="00E77131"/>
    <w:rsid w:val="00E7716A"/>
    <w:rsid w:val="00E77D28"/>
    <w:rsid w:val="00E8321F"/>
    <w:rsid w:val="00E83D8E"/>
    <w:rsid w:val="00E85450"/>
    <w:rsid w:val="00E8629F"/>
    <w:rsid w:val="00E86D85"/>
    <w:rsid w:val="00E8779C"/>
    <w:rsid w:val="00E87BAC"/>
    <w:rsid w:val="00E87CEB"/>
    <w:rsid w:val="00E92C2B"/>
    <w:rsid w:val="00E93697"/>
    <w:rsid w:val="00E95071"/>
    <w:rsid w:val="00E973BB"/>
    <w:rsid w:val="00E97E70"/>
    <w:rsid w:val="00EA1E1D"/>
    <w:rsid w:val="00EA1FAC"/>
    <w:rsid w:val="00EA2AC6"/>
    <w:rsid w:val="00EA336E"/>
    <w:rsid w:val="00EA39B9"/>
    <w:rsid w:val="00EA3C24"/>
    <w:rsid w:val="00EA497A"/>
    <w:rsid w:val="00EA4D9F"/>
    <w:rsid w:val="00EA532D"/>
    <w:rsid w:val="00EA5997"/>
    <w:rsid w:val="00EA5E24"/>
    <w:rsid w:val="00EB0778"/>
    <w:rsid w:val="00EB29D4"/>
    <w:rsid w:val="00EB5E44"/>
    <w:rsid w:val="00EB6167"/>
    <w:rsid w:val="00EB711A"/>
    <w:rsid w:val="00EB764D"/>
    <w:rsid w:val="00EB77FD"/>
    <w:rsid w:val="00EC032B"/>
    <w:rsid w:val="00EC1152"/>
    <w:rsid w:val="00EC1625"/>
    <w:rsid w:val="00EC3268"/>
    <w:rsid w:val="00EC4F41"/>
    <w:rsid w:val="00EC585B"/>
    <w:rsid w:val="00EC5D7A"/>
    <w:rsid w:val="00ED21BA"/>
    <w:rsid w:val="00ED3173"/>
    <w:rsid w:val="00ED4BD1"/>
    <w:rsid w:val="00ED5FF6"/>
    <w:rsid w:val="00ED739E"/>
    <w:rsid w:val="00EE2BDD"/>
    <w:rsid w:val="00EE5127"/>
    <w:rsid w:val="00EE55FE"/>
    <w:rsid w:val="00EE56F6"/>
    <w:rsid w:val="00EE5DF6"/>
    <w:rsid w:val="00EE78ED"/>
    <w:rsid w:val="00EF0F41"/>
    <w:rsid w:val="00EF27B8"/>
    <w:rsid w:val="00EF2BD2"/>
    <w:rsid w:val="00EF58B8"/>
    <w:rsid w:val="00EF7B1C"/>
    <w:rsid w:val="00EF7B20"/>
    <w:rsid w:val="00EF7D73"/>
    <w:rsid w:val="00F0008F"/>
    <w:rsid w:val="00F02B54"/>
    <w:rsid w:val="00F02B98"/>
    <w:rsid w:val="00F035EB"/>
    <w:rsid w:val="00F0405B"/>
    <w:rsid w:val="00F04129"/>
    <w:rsid w:val="00F04493"/>
    <w:rsid w:val="00F05D56"/>
    <w:rsid w:val="00F072D8"/>
    <w:rsid w:val="00F07D14"/>
    <w:rsid w:val="00F07F0E"/>
    <w:rsid w:val="00F10658"/>
    <w:rsid w:val="00F10DF7"/>
    <w:rsid w:val="00F1108A"/>
    <w:rsid w:val="00F12DE0"/>
    <w:rsid w:val="00F1477C"/>
    <w:rsid w:val="00F14DCA"/>
    <w:rsid w:val="00F15871"/>
    <w:rsid w:val="00F16F49"/>
    <w:rsid w:val="00F20154"/>
    <w:rsid w:val="00F256EA"/>
    <w:rsid w:val="00F27B32"/>
    <w:rsid w:val="00F31793"/>
    <w:rsid w:val="00F3253C"/>
    <w:rsid w:val="00F326BE"/>
    <w:rsid w:val="00F3343D"/>
    <w:rsid w:val="00F3423B"/>
    <w:rsid w:val="00F345DF"/>
    <w:rsid w:val="00F35B54"/>
    <w:rsid w:val="00F3688D"/>
    <w:rsid w:val="00F36EC6"/>
    <w:rsid w:val="00F42BD7"/>
    <w:rsid w:val="00F43AE4"/>
    <w:rsid w:val="00F43C50"/>
    <w:rsid w:val="00F45D78"/>
    <w:rsid w:val="00F47598"/>
    <w:rsid w:val="00F50634"/>
    <w:rsid w:val="00F50643"/>
    <w:rsid w:val="00F5097D"/>
    <w:rsid w:val="00F51A5B"/>
    <w:rsid w:val="00F526AF"/>
    <w:rsid w:val="00F532A1"/>
    <w:rsid w:val="00F54D91"/>
    <w:rsid w:val="00F55170"/>
    <w:rsid w:val="00F572E1"/>
    <w:rsid w:val="00F57D00"/>
    <w:rsid w:val="00F631D3"/>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4F"/>
    <w:rsid w:val="00F76B78"/>
    <w:rsid w:val="00F8043A"/>
    <w:rsid w:val="00F8045F"/>
    <w:rsid w:val="00F809EF"/>
    <w:rsid w:val="00F80B51"/>
    <w:rsid w:val="00F80DAA"/>
    <w:rsid w:val="00F80E68"/>
    <w:rsid w:val="00F8150B"/>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149C"/>
    <w:rsid w:val="00FA1AAA"/>
    <w:rsid w:val="00FA2E4F"/>
    <w:rsid w:val="00FA3174"/>
    <w:rsid w:val="00FA5832"/>
    <w:rsid w:val="00FA5AC1"/>
    <w:rsid w:val="00FA5C95"/>
    <w:rsid w:val="00FA718B"/>
    <w:rsid w:val="00FB00A2"/>
    <w:rsid w:val="00FB1F97"/>
    <w:rsid w:val="00FB2B57"/>
    <w:rsid w:val="00FB3ACD"/>
    <w:rsid w:val="00FB3E77"/>
    <w:rsid w:val="00FB5DE6"/>
    <w:rsid w:val="00FB5E31"/>
    <w:rsid w:val="00FB6A6B"/>
    <w:rsid w:val="00FB72E6"/>
    <w:rsid w:val="00FC009D"/>
    <w:rsid w:val="00FC051F"/>
    <w:rsid w:val="00FC1B45"/>
    <w:rsid w:val="00FC1B7D"/>
    <w:rsid w:val="00FC1D8E"/>
    <w:rsid w:val="00FC2284"/>
    <w:rsid w:val="00FC2E47"/>
    <w:rsid w:val="00FC46BC"/>
    <w:rsid w:val="00FC5872"/>
    <w:rsid w:val="00FC5893"/>
    <w:rsid w:val="00FC5D0E"/>
    <w:rsid w:val="00FC6847"/>
    <w:rsid w:val="00FC69F5"/>
    <w:rsid w:val="00FC6AE2"/>
    <w:rsid w:val="00FC6E4F"/>
    <w:rsid w:val="00FC6F0F"/>
    <w:rsid w:val="00FD030E"/>
    <w:rsid w:val="00FD0B18"/>
    <w:rsid w:val="00FD2517"/>
    <w:rsid w:val="00FD3818"/>
    <w:rsid w:val="00FD4AB4"/>
    <w:rsid w:val="00FD4DF8"/>
    <w:rsid w:val="00FD5D12"/>
    <w:rsid w:val="00FD6178"/>
    <w:rsid w:val="00FD6180"/>
    <w:rsid w:val="00FD7A60"/>
    <w:rsid w:val="00FE2D5A"/>
    <w:rsid w:val="00FE387D"/>
    <w:rsid w:val="00FE3C4C"/>
    <w:rsid w:val="00FE453B"/>
    <w:rsid w:val="00FE6820"/>
    <w:rsid w:val="00FE709C"/>
    <w:rsid w:val="00FE7925"/>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semiHidden/>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59"/>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4"/>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4"/>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rPr>
  </w:style>
  <w:style w:type="paragraph" w:customStyle="1" w:styleId="bullet3">
    <w:name w:val="bullet3"/>
    <w:basedOn w:val="Normal"/>
    <w:qFormat/>
    <w:rsid w:val="00F63DA0"/>
    <w:pPr>
      <w:numPr>
        <w:ilvl w:val="2"/>
        <w:numId w:val="4"/>
      </w:numPr>
      <w:spacing w:after="0"/>
    </w:pPr>
    <w:rPr>
      <w:rFonts w:ascii="Times" w:eastAsia="Batang" w:hAnsi="Times"/>
      <w:szCs w:val="24"/>
      <w:lang w:val="en-GB"/>
    </w:rPr>
  </w:style>
  <w:style w:type="paragraph" w:customStyle="1" w:styleId="bullet4">
    <w:name w:val="bullet4"/>
    <w:basedOn w:val="Normal"/>
    <w:qFormat/>
    <w:rsid w:val="00F63DA0"/>
    <w:pPr>
      <w:numPr>
        <w:ilvl w:val="3"/>
        <w:numId w:val="4"/>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5"/>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6"/>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semiHidden/>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qFormat/>
    <w:rsid w:val="00CA2F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957649-A89F-4F8C-9EF0-D0D7C608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3435</Words>
  <Characters>19584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2019-11-07T22:56:00Z</dcterms:created>
  <dcterms:modified xsi:type="dcterms:W3CDTF">2019-11-08T22:57:00Z</dcterms:modified>
</cp:coreProperties>
</file>